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ACQUISITION PLAN</w:t>
      </w:r>
    </w:p>
    <w:p>
      <w:r>
        <w:rPr>
          <w:b/>
        </w:rPr>
        <w:t>Program:</w:t>
      </w:r>
      <w:r>
        <w:t xml:space="preserve"> Advanced Logistics Management System </w:t>
      </w:r>
      <w:r>
        <w:rPr>
          <w:b/>
        </w:rPr>
        <w:t>Organization:</w:t>
      </w:r>
      <w:r>
        <w:t xml:space="preserve"> United States Army </w:t>
      </w:r>
      <w:r>
        <w:rPr>
          <w:b/>
        </w:rPr>
        <w:t>Plan Prepared by:</w:t>
      </w:r>
      <w:r>
        <w:t xml:space="preserve"> Program Manager </w:t>
      </w:r>
      <w:r>
        <w:rPr>
          <w:b/>
        </w:rPr>
        <w:t>Date:</w:t>
      </w:r>
      <w:r>
        <w:t xml:space="preserve"> December 18, 2025 </w:t>
      </w:r>
      <w:r>
        <w:rPr>
          <w:b/>
        </w:rPr>
        <w:t>Classification:</w:t>
      </w:r>
      <w:r>
        <w:t xml:space="preserve"> UNCLASSIFIED</w:t>
      </w:r>
    </w:p>
    <w:p>
      <w:pPr>
        <w:spacing w:before="120" w:after="120"/>
      </w:pPr>
    </w:p>
    <w:p>
      <w:pPr>
        <w:pStyle w:val="Heading2"/>
      </w:pPr>
      <w:r>
        <w:t>EXECUTIVE SUMMARY</w:t>
      </w:r>
    </w:p>
    <w:p>
      <w:pPr>
        <w:pStyle w:val="Heading3"/>
      </w:pPr>
      <w:r>
        <w:t>Program Overview</w:t>
      </w:r>
    </w:p>
    <w:p>
      <w:r>
        <w:rPr>
          <w:highlight w:val="yellow"/>
        </w:rPr>
        <w:t>The Advanced Logistics Management System (ALMS) will provide cloud-based logistics capabilities to 2,800 users across 15 Army installations (Project Information, 2025). The system addresses current capability gaps in real-time data access and modern cloud-based functionality for Army logistics operations.</w:t>
      </w:r>
    </w:p>
    <w:p>
      <w:pPr>
        <w:pStyle w:val="Heading3"/>
      </w:pPr>
      <w:r>
        <w:t>Total Program Cost</w:t>
      </w:r>
    </w:p>
    <w:p>
      <w:r>
        <w:rPr>
          <w:b/>
          <w:highlight w:val="yellow"/>
        </w:rPr>
        <w:t>Estimated Total Cost:</w:t>
      </w:r>
      <w:r>
        <w:rPr>
          <w:highlight w:val="yellow"/>
        </w:rPr>
        <w:t xml:space="preserve"> $2,500,000 (Project Information, 2025)</w:t>
      </w:r>
    </w:p>
    <w:p>
      <w:pPr>
        <w:pStyle w:val="Heading3"/>
      </w:pPr>
      <w:r>
        <w:t>Key Milestones</w:t>
      </w:r>
    </w:p>
    <w:tbl>
      <w:tblPr>
        <w:tblStyle w:val="LightGrid-Accent1"/>
        <w:tblW w:type="auto" w:w="0"/>
        <w:tblLook w:firstColumn="1" w:firstRow="1" w:lastColumn="0" w:lastRow="0" w:noHBand="0" w:noVBand="1" w:val="04A0"/>
      </w:tblPr>
      <w:tblGrid>
        <w:gridCol w:w="4320"/>
        <w:gridCol w:w="4320"/>
      </w:tblGrid>
      <w:tr>
        <w:tc>
          <w:tcPr>
            <w:tcW w:type="dxa" w:w="4320"/>
            <w:shd w:fill="E8E8E8"/>
          </w:tcPr>
          <w:p>
            <w:r>
              <w:rPr>
                <w:b/>
                <w:sz w:val="22"/>
                <w:highlight w:val="yellow"/>
              </w:rPr>
              <w:t>Milestone</w:t>
            </w:r>
          </w:p>
        </w:tc>
        <w:tc>
          <w:tcPr>
            <w:tcW w:type="dxa" w:w="4320"/>
            <w:shd w:fill="E8E8E8"/>
          </w:tcPr>
          <w:p>
            <w:r>
              <w:rPr>
                <w:b/>
                <w:sz w:val="22"/>
                <w:highlight w:val="yellow"/>
              </w:rPr>
              <w:t>Target Date</w:t>
            </w:r>
          </w:p>
        </w:tc>
      </w:tr>
      <w:tr>
        <w:tc>
          <w:tcPr>
            <w:tcW w:type="dxa" w:w="4320"/>
          </w:tcPr>
          <w:p>
            <w:r>
              <w:rPr>
                <w:highlight w:val="yellow"/>
              </w:rPr>
              <w:t>Acquisition Plan Approval</w:t>
            </w:r>
          </w:p>
        </w:tc>
        <w:tc>
          <w:tcPr>
            <w:tcW w:type="dxa" w:w="4320"/>
          </w:tcPr>
          <w:p>
            <w:r>
              <w:rPr>
                <w:highlight w:val="yellow"/>
              </w:rPr>
              <w:t>December 2025</w:t>
            </w:r>
          </w:p>
        </w:tc>
      </w:tr>
      <w:tr>
        <w:tc>
          <w:tcPr>
            <w:tcW w:type="dxa" w:w="4320"/>
          </w:tcPr>
          <w:p>
            <w:r>
              <w:rPr>
                <w:highlight w:val="yellow"/>
              </w:rPr>
              <w:t>Sources Sought Notice Posted</w:t>
            </w:r>
          </w:p>
        </w:tc>
        <w:tc>
          <w:tcPr>
            <w:tcW w:type="dxa" w:w="4320"/>
          </w:tcPr>
          <w:p>
            <w:r>
              <w:rPr>
                <w:highlight w:val="yellow"/>
              </w:rPr>
              <w:t>December 2025</w:t>
            </w:r>
          </w:p>
        </w:tc>
      </w:tr>
      <w:tr>
        <w:tc>
          <w:tcPr>
            <w:tcW w:type="dxa" w:w="4320"/>
          </w:tcPr>
          <w:p>
            <w:r>
              <w:rPr>
                <w:highlight w:val="yellow"/>
              </w:rPr>
              <w:t>Sources Sought Responses Due</w:t>
            </w:r>
          </w:p>
        </w:tc>
        <w:tc>
          <w:tcPr>
            <w:tcW w:type="dxa" w:w="4320"/>
          </w:tcPr>
          <w:p>
            <w:r>
              <w:rPr>
                <w:highlight w:val="yellow"/>
              </w:rPr>
              <w:t>January 2026</w:t>
            </w:r>
          </w:p>
        </w:tc>
      </w:tr>
      <w:tr>
        <w:tc>
          <w:tcPr>
            <w:tcW w:type="dxa" w:w="4320"/>
          </w:tcPr>
          <w:p>
            <w:r>
              <w:rPr>
                <w:highlight w:val="yellow"/>
              </w:rPr>
              <w:t>RFI Released</w:t>
            </w:r>
          </w:p>
        </w:tc>
        <w:tc>
          <w:tcPr>
            <w:tcW w:type="dxa" w:w="4320"/>
          </w:tcPr>
          <w:p>
            <w:r>
              <w:rPr>
                <w:highlight w:val="yellow"/>
              </w:rPr>
              <w:t>January 2026</w:t>
            </w:r>
          </w:p>
        </w:tc>
      </w:tr>
      <w:tr>
        <w:tc>
          <w:tcPr>
            <w:tcW w:type="dxa" w:w="4320"/>
          </w:tcPr>
          <w:p>
            <w:r>
              <w:rPr>
                <w:highlight w:val="yellow"/>
              </w:rPr>
              <w:t>RFI Responses Due</w:t>
            </w:r>
          </w:p>
        </w:tc>
        <w:tc>
          <w:tcPr>
            <w:tcW w:type="dxa" w:w="4320"/>
          </w:tcPr>
          <w:p>
            <w:r>
              <w:rPr>
                <w:highlight w:val="yellow"/>
              </w:rPr>
              <w:t>February 2026</w:t>
            </w:r>
          </w:p>
        </w:tc>
      </w:tr>
      <w:tr>
        <w:tc>
          <w:tcPr>
            <w:tcW w:type="dxa" w:w="4320"/>
          </w:tcPr>
          <w:p>
            <w:r>
              <w:rPr>
                <w:highlight w:val="yellow"/>
              </w:rPr>
              <w:t>Industry Day</w:t>
            </w:r>
          </w:p>
        </w:tc>
        <w:tc>
          <w:tcPr>
            <w:tcW w:type="dxa" w:w="4320"/>
          </w:tcPr>
          <w:p>
            <w:r>
              <w:rPr>
                <w:highlight w:val="yellow"/>
              </w:rPr>
              <w:t>March 2026</w:t>
            </w:r>
          </w:p>
        </w:tc>
      </w:tr>
      <w:tr>
        <w:tc>
          <w:tcPr>
            <w:tcW w:type="dxa" w:w="4320"/>
          </w:tcPr>
          <w:p>
            <w:r>
              <w:rPr>
                <w:highlight w:val="yellow"/>
              </w:rPr>
              <w:t>Draft RFP Release</w:t>
            </w:r>
          </w:p>
        </w:tc>
        <w:tc>
          <w:tcPr>
            <w:tcW w:type="dxa" w:w="4320"/>
          </w:tcPr>
          <w:p>
            <w:r>
              <w:rPr>
                <w:highlight w:val="yellow"/>
              </w:rPr>
              <w:t>March 2026</w:t>
            </w:r>
          </w:p>
        </w:tc>
      </w:tr>
      <w:tr>
        <w:tc>
          <w:tcPr>
            <w:tcW w:type="dxa" w:w="4320"/>
          </w:tcPr>
          <w:p>
            <w:r>
              <w:rPr>
                <w:highlight w:val="yellow"/>
              </w:rPr>
              <w:t>Final RFP Release</w:t>
            </w:r>
          </w:p>
        </w:tc>
        <w:tc>
          <w:tcPr>
            <w:tcW w:type="dxa" w:w="4320"/>
          </w:tcPr>
          <w:p>
            <w:r>
              <w:rPr>
                <w:highlight w:val="yellow"/>
              </w:rPr>
              <w:t>April 2026</w:t>
            </w:r>
          </w:p>
        </w:tc>
      </w:tr>
      <w:tr>
        <w:tc>
          <w:tcPr>
            <w:tcW w:type="dxa" w:w="4320"/>
          </w:tcPr>
          <w:p>
            <w:r>
              <w:rPr>
                <w:highlight w:val="yellow"/>
              </w:rPr>
              <w:t>Proposals Due</w:t>
            </w:r>
          </w:p>
        </w:tc>
        <w:tc>
          <w:tcPr>
            <w:tcW w:type="dxa" w:w="4320"/>
          </w:tcPr>
          <w:p>
            <w:r>
              <w:rPr>
                <w:highlight w:val="yellow"/>
              </w:rPr>
              <w:t>June 2026</w:t>
            </w:r>
          </w:p>
        </w:tc>
      </w:tr>
      <w:tr>
        <w:tc>
          <w:tcPr>
            <w:tcW w:type="dxa" w:w="4320"/>
          </w:tcPr>
          <w:p>
            <w:r>
              <w:rPr>
                <w:highlight w:val="yellow"/>
              </w:rPr>
              <w:t>Source Selection Complete</w:t>
            </w:r>
          </w:p>
        </w:tc>
        <w:tc>
          <w:tcPr>
            <w:tcW w:type="dxa" w:w="4320"/>
          </w:tcPr>
          <w:p>
            <w:r>
              <w:rPr>
                <w:highlight w:val="yellow"/>
              </w:rPr>
              <w:t>July 2026</w:t>
            </w:r>
          </w:p>
        </w:tc>
      </w:tr>
      <w:tr>
        <w:tc>
          <w:tcPr>
            <w:tcW w:type="dxa" w:w="4320"/>
          </w:tcPr>
          <w:p>
            <w:r>
              <w:rPr>
                <w:highlight w:val="yellow"/>
              </w:rPr>
              <w:t>Contract Award</w:t>
            </w:r>
          </w:p>
        </w:tc>
        <w:tc>
          <w:tcPr>
            <w:tcW w:type="dxa" w:w="4320"/>
          </w:tcPr>
          <w:p>
            <w:r>
              <w:rPr>
                <w:highlight w:val="yellow"/>
              </w:rPr>
              <w:t>August 2026</w:t>
            </w:r>
          </w:p>
        </w:tc>
      </w:tr>
    </w:tbl>
    <w:p/>
    <w:p>
      <w:pPr>
        <w:pStyle w:val="Heading3"/>
      </w:pPr>
      <w:r>
        <w:t>Acquisition Strategy Summary</w:t>
      </w:r>
    </w:p>
    <w:p>
      <w:r>
        <w:rPr>
          <w:highlight w:val="yellow"/>
        </w:rPr>
        <w:t>The acquisition will utilize a Small Business Set-Aside approach under NAICS code 541512 with a Firm Fixed Price contract structure (Project Information, 2025). The 36-month period of performance includes a 12-month base period plus two 12-month option periods to support phased implementation across CONUS installations.</w:t>
      </w:r>
    </w:p>
    <w:p>
      <w:pPr>
        <w:pStyle w:val="Heading3"/>
      </w:pPr>
      <w:r>
        <w:t>Approval Status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8E8"/>
          </w:tcPr>
          <w:p>
            <w:r>
              <w:rPr>
                <w:b/>
                <w:sz w:val="22"/>
                <w:highlight w:val="yellow"/>
              </w:rPr>
              <w:t>Authority</w:t>
            </w:r>
          </w:p>
        </w:tc>
        <w:tc>
          <w:tcPr>
            <w:tcW w:type="dxa" w:w="2160"/>
            <w:shd w:fill="E8E8E8"/>
          </w:tcPr>
          <w:p>
            <w:r>
              <w:rPr>
                <w:b/>
                <w:sz w:val="22"/>
                <w:highlight w:val="yellow"/>
              </w:rPr>
              <w:t>Name</w:t>
            </w:r>
          </w:p>
        </w:tc>
        <w:tc>
          <w:tcPr>
            <w:tcW w:type="dxa" w:w="2160"/>
            <w:shd w:fill="E8E8E8"/>
          </w:tcPr>
          <w:p>
            <w:r>
              <w:rPr>
                <w:b/>
                <w:sz w:val="22"/>
                <w:highlight w:val="yellow"/>
              </w:rPr>
              <w:t>Date</w:t>
            </w:r>
          </w:p>
        </w:tc>
        <w:tc>
          <w:tcPr>
            <w:tcW w:type="dxa" w:w="2160"/>
            <w:shd w:fill="E8E8E8"/>
          </w:tcPr>
          <w:p>
            <w:r>
              <w:rPr>
                <w:b/>
                <w:sz w:val="22"/>
                <w:highlight w:val="yellow"/>
              </w:rPr>
              <w:t>Signature</w:t>
            </w:r>
          </w:p>
        </w:tc>
      </w:tr>
      <w:tr>
        <w:tc>
          <w:tcPr>
            <w:tcW w:type="dxa" w:w="2160"/>
          </w:tcPr>
          <w:p>
            <w:r>
              <w:rPr>
                <w:highlight w:val="yellow"/>
              </w:rPr>
              <w:t>Contracting Officer</w:t>
            </w:r>
          </w:p>
        </w:tc>
        <w:tc>
          <w:tcPr>
            <w:tcW w:type="dxa" w:w="2160"/>
          </w:tcPr>
          <w:p>
            <w:r>
              <w:rPr>
                <w:highlight w:val="yellow"/>
              </w:rPr>
              <w:t>LTC Michael Chen</w:t>
            </w:r>
          </w:p>
        </w:tc>
        <w:tc>
          <w:tcPr>
            <w:tcW w:type="dxa" w:w="2160"/>
          </w:tcPr>
          <w:p>
            <w:r>
              <w:rPr>
                <w:highlight w:val="yellow"/>
              </w:rPr>
              <w:t>Upon plan approval</w:t>
            </w:r>
          </w:p>
        </w:tc>
        <w:tc>
          <w:tcPr>
            <w:tcW w:type="dxa" w:w="2160"/>
          </w:tcPr>
          <w:p>
            <w:r>
              <w:rPr>
                <w:highlight w:val="yellow"/>
              </w:rPr>
              <w:t>_____________</w:t>
            </w:r>
          </w:p>
        </w:tc>
      </w:tr>
      <w:tr>
        <w:tc>
          <w:tcPr>
            <w:tcW w:type="dxa" w:w="2160"/>
          </w:tcPr>
          <w:p>
            <w:r>
              <w:rPr>
                <w:highlight w:val="yellow"/>
              </w:rPr>
              <w:t>Program Manager</w:t>
            </w:r>
          </w:p>
        </w:tc>
        <w:tc>
          <w:tcPr>
            <w:tcW w:type="dxa" w:w="2160"/>
          </w:tcPr>
          <w:p>
            <w:r>
              <w:rPr>
                <w:highlight w:val="yellow"/>
              </w:rPr>
              <w:t>TBD - To be assigned</w:t>
            </w:r>
          </w:p>
        </w:tc>
        <w:tc>
          <w:tcPr>
            <w:tcW w:type="dxa" w:w="2160"/>
          </w:tcPr>
          <w:p>
            <w:r>
              <w:rPr>
                <w:highlight w:val="yellow"/>
              </w:rPr>
              <w:t>Upon plan approval</w:t>
            </w:r>
          </w:p>
        </w:tc>
        <w:tc>
          <w:tcPr>
            <w:tcW w:type="dxa" w:w="2160"/>
          </w:tcPr>
          <w:p>
            <w:r>
              <w:rPr>
                <w:highlight w:val="yellow"/>
              </w:rPr>
              <w:t>_____________</w:t>
            </w:r>
          </w:p>
        </w:tc>
      </w:tr>
      <w:tr>
        <w:tc>
          <w:tcPr>
            <w:tcW w:type="dxa" w:w="2160"/>
          </w:tcPr>
          <w:p>
            <w:r>
              <w:rPr>
                <w:highlight w:val="yellow"/>
              </w:rPr>
              <w:t>Legal Review</w:t>
            </w:r>
          </w:p>
        </w:tc>
        <w:tc>
          <w:tcPr>
            <w:tcW w:type="dxa" w:w="2160"/>
          </w:tcPr>
          <w:p>
            <w:r>
              <w:rPr>
                <w:highlight w:val="yellow"/>
              </w:rPr>
              <w:t>TBD - To be assigned</w:t>
            </w:r>
          </w:p>
        </w:tc>
        <w:tc>
          <w:tcPr>
            <w:tcW w:type="dxa" w:w="2160"/>
          </w:tcPr>
          <w:p>
            <w:r>
              <w:rPr>
                <w:highlight w:val="yellow"/>
              </w:rPr>
              <w:t>Upon plan approval</w:t>
            </w:r>
          </w:p>
        </w:tc>
        <w:tc>
          <w:tcPr>
            <w:tcW w:type="dxa" w:w="2160"/>
          </w:tcPr>
          <w:p>
            <w:r>
              <w:rPr>
                <w:highlight w:val="yellow"/>
              </w:rPr>
              <w:t>_____________</w:t>
            </w:r>
          </w:p>
        </w:tc>
      </w:tr>
      <w:tr>
        <w:tc>
          <w:tcPr>
            <w:tcW w:type="dxa" w:w="2160"/>
          </w:tcPr>
          <w:p>
            <w:r>
              <w:rPr>
                <w:highlight w:val="yellow"/>
              </w:rPr>
              <w:t>Small Business Specialist</w:t>
            </w:r>
          </w:p>
        </w:tc>
        <w:tc>
          <w:tcPr>
            <w:tcW w:type="dxa" w:w="2160"/>
          </w:tcPr>
          <w:p>
            <w:r>
              <w:rPr>
                <w:highlight w:val="yellow"/>
              </w:rPr>
              <w:t>TBD - To be assigned</w:t>
            </w:r>
          </w:p>
        </w:tc>
        <w:tc>
          <w:tcPr>
            <w:tcW w:type="dxa" w:w="2160"/>
          </w:tcPr>
          <w:p>
            <w:r>
              <w:rPr>
                <w:highlight w:val="yellow"/>
              </w:rPr>
              <w:t>Upon plan approval</w:t>
            </w:r>
          </w:p>
        </w:tc>
        <w:tc>
          <w:tcPr>
            <w:tcW w:type="dxa" w:w="2160"/>
          </w:tcPr>
          <w:p>
            <w:r>
              <w:rPr>
                <w:highlight w:val="yellow"/>
              </w:rPr>
              <w:t>_____________</w:t>
            </w:r>
          </w:p>
        </w:tc>
      </w:tr>
    </w:tbl>
    <w:p/>
    <w:p>
      <w:pPr>
        <w:spacing w:before="120" w:after="120"/>
      </w:pPr>
    </w:p>
    <w:p>
      <w:pPr>
        <w:pStyle w:val="Heading2"/>
      </w:pPr>
      <w:r>
        <w:t>1. BACKGROUND (FAR 7.105(a)(1))</w:t>
      </w:r>
    </w:p>
    <w:p>
      <w:pPr>
        <w:pStyle w:val="Heading3"/>
      </w:pPr>
      <w:r>
        <w:t>1.1 Mission Need and Program Purpose</w:t>
      </w:r>
    </w:p>
    <w:p>
      <w:r>
        <w:rPr>
          <w:highlight w:val="yellow"/>
        </w:rPr>
        <w:t>The Advanced Logistics Management System addresses critical capability gaps in current Army logistics systems that lack modern cloud-based capabilities and real-time data access required to support 2,800 users across 15 Army installations (Project Information, 2025).</w:t>
      </w:r>
    </w:p>
    <w:p>
      <w:pPr>
        <w:pStyle w:val="Heading3"/>
      </w:pPr>
      <w:r>
        <w:t>1.2 Capability Gap</w:t>
      </w:r>
    </w:p>
    <w:p>
      <w:r>
        <w:rPr>
          <w:highlight w:val="yellow"/>
        </w:rPr>
        <w:t>Current legacy logistics systems cannot provide real-time visibility into supply chain operations, automated inventory management, or cloud-based data access required for modern Army logistics operations (Project Information, 2025).</w:t>
      </w:r>
    </w:p>
    <w:p>
      <w:pPr>
        <w:pStyle w:val="Heading3"/>
      </w:pPr>
      <w:r>
        <w:t>1.3 Current Situation</w:t>
      </w:r>
    </w:p>
    <w:p>
      <w:r>
        <w:rPr>
          <w:highlight w:val="yellow"/>
        </w:rPr>
        <w:t>Army logistics operations currently rely on legacy systems that require modernization to support cloud-based operations and real-time data access for 2,800 users distributed across 15 installations (Project Information, 2025).</w:t>
      </w:r>
    </w:p>
    <w:p>
      <w:pPr>
        <w:pStyle w:val="Heading3"/>
      </w:pPr>
      <w:r>
        <w:t>1.4 Strategic Alignment</w:t>
      </w:r>
    </w:p>
    <w:p>
      <w:r>
        <w:rPr>
          <w:highlight w:val="yellow"/>
        </w:rPr>
        <w:t>The ALMS program aligns with Army modernization priorities under PEO Combat Support &amp; Combat Service Support command structure (Project Information, 2025).</w:t>
      </w:r>
    </w:p>
    <w:p>
      <w:pPr>
        <w:pStyle w:val="Heading3"/>
      </w:pPr>
      <w:r>
        <w:t>1.5 Program History</w:t>
      </w:r>
    </w:p>
    <w:p>
      <w:r>
        <w:rPr>
          <w:highlight w:val="yellow"/>
        </w:rPr>
        <w:t>The Advanced Logistics Management System represents a new acquisition initiative to replace legacy logistics systems with modern cloud-based capabilities (Project Information, 2025).</w:t>
      </w:r>
    </w:p>
    <w:p>
      <w:pPr>
        <w:spacing w:before="120" w:after="120"/>
      </w:pPr>
    </w:p>
    <w:p>
      <w:pPr>
        <w:pStyle w:val="Heading2"/>
      </w:pPr>
      <w:r>
        <w:t>2. APPLICABLE CONDITIONS (FAR 7.105(a)(2))</w:t>
      </w:r>
    </w:p>
    <w:p>
      <w:pPr>
        <w:pStyle w:val="Heading3"/>
      </w:pPr>
      <w:r>
        <w:t>2.1 Acquisition Category (ACAT)</w:t>
      </w:r>
    </w:p>
    <w:p>
      <w:r>
        <w:rPr>
          <w:b/>
          <w:highlight w:val="yellow"/>
        </w:rPr>
        <w:t>ACAT Level:</w:t>
      </w:r>
      <w:r>
        <w:rPr>
          <w:highlight w:val="yellow"/>
        </w:rPr>
        <w:t xml:space="preserve"> ACAT III (Project Information, 2025)</w:t>
      </w:r>
    </w:p>
    <w:p>
      <w:r>
        <w:rPr>
          <w:b/>
          <w:highlight w:val="yellow"/>
        </w:rPr>
        <w:t>Rationale:</w:t>
      </w:r>
      <w:r>
        <w:rPr>
          <w:highlight w:val="yellow"/>
        </w:rPr>
        <w:t xml:space="preserve"> Program estimated at $2,500,000, below ACAT II threshold of $185M RDT&amp;E or $480M procurement (Project Information, 2025).</w:t>
      </w:r>
    </w:p>
    <w:p>
      <w:pPr>
        <w:pStyle w:val="Heading3"/>
      </w:pPr>
      <w:r>
        <w:t>2.2 Milestone Decision Authority (MDA)</w:t>
      </w:r>
    </w:p>
    <w:p>
      <w:r>
        <w:rPr>
          <w:highlight w:val="yellow"/>
        </w:rPr>
        <w:t>Milestone Decision Authority (MDA): Program Executive Officer Combat Support &amp; Combat Service Support (Project Information, 2025)</w:t>
      </w:r>
    </w:p>
    <w:p>
      <w:pPr>
        <w:pStyle w:val="Heading3"/>
      </w:pPr>
      <w:r>
        <w:t>2.3 Applicable Regulations</w:t>
      </w:r>
    </w:p>
    <w:p>
      <w:r>
        <w:rPr>
          <w:highlight w:val="yellow"/>
        </w:rPr>
        <w:t xml:space="preserve">For this ACAT III Advanced Logistics Management System acquisition, the key regulations include </w:t>
      </w:r>
      <w:r>
        <w:rPr>
          <w:b/>
          <w:highlight w:val="yellow"/>
        </w:rPr>
        <w:t>FAR Parts 12 (Commercial Items), 15 (Contracting by Negotiation), and 16 (Types of Contracts)</w:t>
      </w:r>
      <w:r>
        <w:rPr>
          <w:highlight w:val="yellow"/>
        </w:rPr>
        <w:t xml:space="preserve"> for the firm fixed price contracting approach (FAR 16.202, 2023), along with </w:t>
      </w:r>
      <w:r>
        <w:rPr>
          <w:b/>
          <w:highlight w:val="yellow"/>
        </w:rPr>
        <w:t>DFARS Parts 208 (Required Sources of Supplies and Services), 212 (Commercial Items), and 239 (Information Technology)</w:t>
      </w:r>
      <w:r>
        <w:rPr>
          <w:highlight w:val="yellow"/>
        </w:rPr>
        <w:t xml:space="preserve"> given the IT system nature (DFARS 239.101, 2023). Additionally, </w:t>
      </w:r>
      <w:r>
        <w:rPr>
          <w:b/>
          <w:highlight w:val="yellow"/>
        </w:rPr>
        <w:t>DoDI 5000.02 (Operation of the Defense Acquisition System, January 23, 2020)</w:t>
      </w:r>
      <w:r>
        <w:rPr>
          <w:highlight w:val="yellow"/>
        </w:rPr>
        <w:t xml:space="preserve"> and </w:t>
      </w:r>
      <w:r>
        <w:rPr>
          <w:b/>
          <w:highlight w:val="yellow"/>
        </w:rPr>
        <w:t>DoDI 5000.87 (Operation of the Software Acquisition Pathway, October 2, 2020)</w:t>
      </w:r>
      <w:r>
        <w:rPr>
          <w:highlight w:val="yellow"/>
        </w:rPr>
        <w:t xml:space="preserve"> will govern the acquisition lifecycle management and software development processes for this ACAT III program.</w:t>
      </w:r>
    </w:p>
    <w:p>
      <w:r>
        <w:rPr>
          <w:highlight w:val="yellow"/>
        </w:rPr>
        <w:t xml:space="preserve">The acquisition must also comply with </w:t>
      </w:r>
      <w:r>
        <w:rPr>
          <w:b/>
          <w:highlight w:val="yellow"/>
        </w:rPr>
        <w:t>FAR Part 39 (Information Technology)</w:t>
      </w:r>
      <w:r>
        <w:rPr>
          <w:highlight w:val="yellow"/>
        </w:rPr>
        <w:t xml:space="preserve"> for IT procurement requirements and relevant cybersecurity regulations under </w:t>
      </w:r>
      <w:r>
        <w:rPr>
          <w:b/>
          <w:highlight w:val="yellow"/>
        </w:rPr>
        <w:t>DFARS 252.204-7012</w:t>
      </w:r>
      <w:r>
        <w:rPr>
          <w:highlight w:val="yellow"/>
        </w:rPr>
        <w:t xml:space="preserve"> for safeguarding covered defense information (DFARS 252.204-7012, 2023).</w:t>
      </w:r>
    </w:p>
    <w:p>
      <w:pPr>
        <w:pStyle w:val="Heading3"/>
      </w:pPr>
      <w:r>
        <w:t>2.4 Acquisition Pathway</w:t>
      </w:r>
    </w:p>
    <w:p>
      <w:r>
        <w:rPr>
          <w:highlight w:val="yellow"/>
        </w:rPr>
        <w:t>Middle Tier Acquisition (MTA) - Rapid Prototyping pathway per 10 USC 2302 (10 USC 2302, 2023)</w:t>
      </w:r>
    </w:p>
    <w:p>
      <w:pPr>
        <w:pStyle w:val="Heading3"/>
      </w:pPr>
      <w:r>
        <w:t>2.5 Special Program Designations</w:t>
      </w:r>
    </w:p>
    <w:p>
      <w:r>
        <w:rPr>
          <w:highlight w:val="yellow"/>
        </w:rPr>
        <w:t>None</w:t>
      </w:r>
    </w:p>
    <w:p>
      <w:pPr>
        <w:spacing w:before="120" w:after="120"/>
      </w:pPr>
    </w:p>
    <w:p>
      <w:pPr>
        <w:pStyle w:val="Heading2"/>
      </w:pPr>
      <w:r>
        <w:t>3. COST (FAR 7.105(a)(3))</w:t>
      </w:r>
    </w:p>
    <w:p>
      <w:pPr>
        <w:pStyle w:val="Heading3"/>
      </w:pPr>
      <w:r>
        <w:t>3.1 Total Program Cost Estimate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E8E8E8"/>
          </w:tcPr>
          <w:p>
            <w:r>
              <w:rPr>
                <w:b/>
                <w:sz w:val="22"/>
                <w:highlight w:val="yellow"/>
              </w:rPr>
              <w:t>Cost Category</w:t>
            </w:r>
          </w:p>
        </w:tc>
        <w:tc>
          <w:tcPr>
            <w:tcW w:type="dxa" w:w="1234"/>
            <w:shd w:fill="E8E8E8"/>
          </w:tcPr>
          <w:p>
            <w:r>
              <w:rPr>
                <w:b/>
                <w:sz w:val="22"/>
                <w:highlight w:val="yellow"/>
              </w:rPr>
              <w:t>FY26 (Base)</w:t>
            </w:r>
          </w:p>
        </w:tc>
        <w:tc>
          <w:tcPr>
            <w:tcW w:type="dxa" w:w="1234"/>
            <w:shd w:fill="E8E8E8"/>
          </w:tcPr>
          <w:p>
            <w:r>
              <w:rPr>
                <w:b/>
                <w:sz w:val="22"/>
                <w:highlight w:val="yellow"/>
              </w:rPr>
              <w:t>FY27 (Opt 1)</w:t>
            </w:r>
          </w:p>
        </w:tc>
        <w:tc>
          <w:tcPr>
            <w:tcW w:type="dxa" w:w="1234"/>
            <w:shd w:fill="E8E8E8"/>
          </w:tcPr>
          <w:p>
            <w:r>
              <w:rPr>
                <w:b/>
                <w:sz w:val="22"/>
                <w:highlight w:val="yellow"/>
              </w:rPr>
              <w:t>FY28 (Opt 2)</w:t>
            </w:r>
          </w:p>
        </w:tc>
        <w:tc>
          <w:tcPr>
            <w:tcW w:type="dxa" w:w="1234"/>
            <w:shd w:fill="E8E8E8"/>
          </w:tcPr>
          <w:p>
            <w:r>
              <w:rPr>
                <w:b/>
                <w:sz w:val="22"/>
                <w:highlight w:val="yellow"/>
              </w:rPr>
              <w:t>FY29 (Opt 3)</w:t>
            </w:r>
          </w:p>
        </w:tc>
        <w:tc>
          <w:tcPr>
            <w:tcW w:type="dxa" w:w="1234"/>
            <w:shd w:fill="E8E8E8"/>
          </w:tcPr>
          <w:p>
            <w:r>
              <w:rPr>
                <w:b/>
                <w:sz w:val="22"/>
                <w:highlight w:val="yellow"/>
              </w:rPr>
              <w:t>FY30 (Opt 4)</w:t>
            </w:r>
          </w:p>
        </w:tc>
        <w:tc>
          <w:tcPr>
            <w:tcW w:type="dxa" w:w="1234"/>
            <w:shd w:fill="E8E8E8"/>
          </w:tcPr>
          <w:p>
            <w:r>
              <w:rPr>
                <w:b/>
                <w:sz w:val="22"/>
                <w:highlight w:val="yellow"/>
              </w:rPr>
              <w:t>Total</w:t>
            </w:r>
          </w:p>
        </w:tc>
      </w:tr>
      <w:tr>
        <w:tc>
          <w:tcPr>
            <w:tcW w:type="dxa" w:w="1234"/>
          </w:tcPr>
          <w:p>
            <w:r>
              <w:rPr>
                <w:highlight w:val="yellow"/>
              </w:rPr>
              <w:t>Development</w:t>
            </w:r>
          </w:p>
        </w:tc>
        <w:tc>
          <w:tcPr>
            <w:tcW w:type="dxa" w:w="1234"/>
          </w:tcPr>
          <w:p>
            <w:r>
              <w:rPr>
                <w:highlight w:val="yellow"/>
              </w:rPr>
              <w:t>$850,000</w:t>
            </w:r>
          </w:p>
        </w:tc>
        <w:tc>
          <w:tcPr>
            <w:tcW w:type="dxa" w:w="1234"/>
          </w:tcPr>
          <w:p>
            <w:r>
              <w:rPr>
                <w:highlight w:val="yellow"/>
              </w:rPr>
              <w:t>$400,000</w:t>
            </w:r>
          </w:p>
        </w:tc>
        <w:tc>
          <w:tcPr>
            <w:tcW w:type="dxa" w:w="1234"/>
          </w:tcPr>
          <w:p>
            <w:r>
              <w:rPr>
                <w:highlight w:val="yellow"/>
              </w:rPr>
              <w:t>$400,000</w:t>
            </w:r>
          </w:p>
        </w:tc>
        <w:tc>
          <w:tcPr>
            <w:tcW w:type="dxa" w:w="1234"/>
          </w:tcPr>
          <w:p>
            <w:r>
              <w:rPr>
                <w:highlight w:val="yellow"/>
              </w:rPr>
              <w:t>TBD</w:t>
            </w:r>
          </w:p>
        </w:tc>
        <w:tc>
          <w:tcPr>
            <w:tcW w:type="dxa" w:w="1234"/>
          </w:tcPr>
          <w:p>
            <w:r>
              <w:rPr>
                <w:highlight w:val="yellow"/>
              </w:rPr>
              <w:t>TBD</w:t>
            </w:r>
          </w:p>
        </w:tc>
        <w:tc>
          <w:tcPr>
            <w:tcW w:type="dxa" w:w="1234"/>
          </w:tcPr>
          <w:p>
            <w:r>
              <w:rPr>
                <w:highlight w:val="yellow"/>
              </w:rPr>
              <w:t>$1,650,000</w:t>
            </w:r>
          </w:p>
        </w:tc>
      </w:tr>
      <w:tr>
        <w:tc>
          <w:tcPr>
            <w:tcW w:type="dxa" w:w="1234"/>
          </w:tcPr>
          <w:p>
            <w:r>
              <w:rPr>
                <w:highlight w:val="yellow"/>
              </w:rPr>
              <w:t>Production</w:t>
            </w:r>
          </w:p>
        </w:tc>
        <w:tc>
          <w:tcPr>
            <w:tcW w:type="dxa" w:w="1234"/>
          </w:tcPr>
          <w:p>
            <w:r>
              <w:rPr>
                <w:highlight w:val="yellow"/>
              </w:rPr>
              <w:t>$200,000</w:t>
            </w:r>
          </w:p>
        </w:tc>
        <w:tc>
          <w:tcPr>
            <w:tcW w:type="dxa" w:w="1234"/>
          </w:tcPr>
          <w:p>
            <w:r>
              <w:rPr>
                <w:highlight w:val="yellow"/>
              </w:rPr>
              <w:t>$200,000</w:t>
            </w:r>
          </w:p>
        </w:tc>
        <w:tc>
          <w:tcPr>
            <w:tcW w:type="dxa" w:w="1234"/>
          </w:tcPr>
          <w:p>
            <w:r>
              <w:rPr>
                <w:highlight w:val="yellow"/>
              </w:rPr>
              <w:t>$200,000</w:t>
            </w:r>
          </w:p>
        </w:tc>
        <w:tc>
          <w:tcPr>
            <w:tcW w:type="dxa" w:w="1234"/>
          </w:tcPr>
          <w:p>
            <w:r>
              <w:rPr>
                <w:highlight w:val="yellow"/>
              </w:rPr>
              <w:t>TBD</w:t>
            </w:r>
          </w:p>
        </w:tc>
        <w:tc>
          <w:tcPr>
            <w:tcW w:type="dxa" w:w="1234"/>
          </w:tcPr>
          <w:p>
            <w:r>
              <w:rPr>
                <w:highlight w:val="yellow"/>
              </w:rPr>
              <w:t>TBD</w:t>
            </w:r>
          </w:p>
        </w:tc>
        <w:tc>
          <w:tcPr>
            <w:tcW w:type="dxa" w:w="1234"/>
          </w:tcPr>
          <w:p>
            <w:r>
              <w:rPr>
                <w:highlight w:val="yellow"/>
              </w:rPr>
              <w:t>$600,000</w:t>
            </w:r>
          </w:p>
        </w:tc>
      </w:tr>
      <w:tr>
        <w:tc>
          <w:tcPr>
            <w:tcW w:type="dxa" w:w="1234"/>
          </w:tcPr>
          <w:p>
            <w:r>
              <w:rPr>
                <w:highlight w:val="yellow"/>
              </w:rPr>
              <w:t>Operations &amp; Maintenance</w:t>
            </w:r>
          </w:p>
        </w:tc>
        <w:tc>
          <w:tcPr>
            <w:tcW w:type="dxa" w:w="1234"/>
          </w:tcPr>
          <w:p>
            <w:r>
              <w:rPr>
                <w:highlight w:val="yellow"/>
              </w:rPr>
              <w:t>$100,000</w:t>
            </w:r>
          </w:p>
        </w:tc>
        <w:tc>
          <w:tcPr>
            <w:tcW w:type="dxa" w:w="1234"/>
          </w:tcPr>
          <w:p>
            <w:r>
              <w:rPr>
                <w:highlight w:val="yellow"/>
              </w:rPr>
              <w:t>$225,000</w:t>
            </w:r>
          </w:p>
        </w:tc>
        <w:tc>
          <w:tcPr>
            <w:tcW w:type="dxa" w:w="1234"/>
          </w:tcPr>
          <w:p>
            <w:r>
              <w:rPr>
                <w:highlight w:val="yellow"/>
              </w:rPr>
              <w:t>$225,000</w:t>
            </w:r>
          </w:p>
        </w:tc>
        <w:tc>
          <w:tcPr>
            <w:tcW w:type="dxa" w:w="1234"/>
          </w:tcPr>
          <w:p>
            <w:r>
              <w:rPr>
                <w:highlight w:val="yellow"/>
              </w:rPr>
              <w:t>TBD</w:t>
            </w:r>
          </w:p>
        </w:tc>
        <w:tc>
          <w:tcPr>
            <w:tcW w:type="dxa" w:w="1234"/>
          </w:tcPr>
          <w:p>
            <w:r>
              <w:rPr>
                <w:highlight w:val="yellow"/>
              </w:rPr>
              <w:t>TBD</w:t>
            </w:r>
          </w:p>
        </w:tc>
        <w:tc>
          <w:tcPr>
            <w:tcW w:type="dxa" w:w="1234"/>
          </w:tcPr>
          <w:p>
            <w:r>
              <w:rPr>
                <w:highlight w:val="yellow"/>
              </w:rPr>
              <w:t>$550,000</w:t>
            </w:r>
          </w:p>
        </w:tc>
      </w:tr>
      <w:tr>
        <w:tc>
          <w:tcPr>
            <w:tcW w:type="dxa" w:w="1234"/>
          </w:tcPr>
          <w:p>
            <w:r>
              <w:rPr>
                <w:highlight w:val="yellow"/>
              </w:rPr>
              <w:t>TOTAL</w:t>
            </w:r>
          </w:p>
        </w:tc>
        <w:tc>
          <w:tcPr>
            <w:tcW w:type="dxa" w:w="1234"/>
          </w:tcPr>
          <w:p>
            <w:r>
              <w:rPr>
                <w:highlight w:val="yellow"/>
              </w:rPr>
              <w:t>$1,150,000</w:t>
            </w:r>
          </w:p>
        </w:tc>
        <w:tc>
          <w:tcPr>
            <w:tcW w:type="dxa" w:w="1234"/>
          </w:tcPr>
          <w:p>
            <w:r>
              <w:rPr>
                <w:highlight w:val="yellow"/>
              </w:rPr>
              <w:t>$825,000</w:t>
            </w:r>
          </w:p>
        </w:tc>
        <w:tc>
          <w:tcPr>
            <w:tcW w:type="dxa" w:w="1234"/>
          </w:tcPr>
          <w:p>
            <w:r>
              <w:rPr>
                <w:highlight w:val="yellow"/>
              </w:rPr>
              <w:t>$825,000</w:t>
            </w:r>
          </w:p>
        </w:tc>
        <w:tc>
          <w:tcPr>
            <w:tcW w:type="dxa" w:w="1234"/>
          </w:tcPr>
          <w:p>
            <w:r>
              <w:rPr>
                <w:highlight w:val="yellow"/>
              </w:rPr>
              <w:t>TBD</w:t>
            </w:r>
          </w:p>
        </w:tc>
        <w:tc>
          <w:tcPr>
            <w:tcW w:type="dxa" w:w="1234"/>
          </w:tcPr>
          <w:p>
            <w:r>
              <w:rPr>
                <w:highlight w:val="yellow"/>
              </w:rPr>
              <w:t>TBD</w:t>
            </w:r>
          </w:p>
        </w:tc>
        <w:tc>
          <w:tcPr>
            <w:tcW w:type="dxa" w:w="1234"/>
          </w:tcPr>
          <w:p>
            <w:r>
              <w:rPr>
                <w:highlight w:val="yellow"/>
              </w:rPr>
              <w:t>$2,500,000</w:t>
            </w:r>
          </w:p>
        </w:tc>
      </w:tr>
    </w:tbl>
    <w:p/>
    <w:p>
      <w:pPr>
        <w:pStyle w:val="Heading3"/>
      </w:pPr>
      <w:r>
        <w:t>3.2 Cost Estimate Basis</w:t>
      </w:r>
    </w:p>
    <w:p>
      <w:r>
        <w:rPr>
          <w:highlight w:val="yellow"/>
        </w:rPr>
        <w:t>Cost estimates are based on the Independent Government Cost Estimate (IGCE) projecting a total program cost of $2,500,000 over the 36-month period of performance (Project Information, 2025).</w:t>
      </w:r>
    </w:p>
    <w:p>
      <w:pPr>
        <w:pStyle w:val="Heading3"/>
      </w:pPr>
      <w:r>
        <w:t>3.3 Funding Profile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8E8"/>
          </w:tcPr>
          <w:p>
            <w:r>
              <w:rPr>
                <w:b/>
                <w:sz w:val="22"/>
                <w:highlight w:val="yellow"/>
              </w:rPr>
              <w:t>Fiscal Year</w:t>
            </w:r>
          </w:p>
        </w:tc>
        <w:tc>
          <w:tcPr>
            <w:tcW w:type="dxa" w:w="2160"/>
            <w:shd w:fill="E8E8E8"/>
          </w:tcPr>
          <w:p>
            <w:r>
              <w:rPr>
                <w:b/>
                <w:sz w:val="22"/>
                <w:highlight w:val="yellow"/>
              </w:rPr>
              <w:t>Appropriation</w:t>
            </w:r>
          </w:p>
        </w:tc>
        <w:tc>
          <w:tcPr>
            <w:tcW w:type="dxa" w:w="2160"/>
            <w:shd w:fill="E8E8E8"/>
          </w:tcPr>
          <w:p>
            <w:r>
              <w:rPr>
                <w:b/>
                <w:sz w:val="22"/>
                <w:highlight w:val="yellow"/>
              </w:rPr>
              <w:t>Amount</w:t>
            </w:r>
          </w:p>
        </w:tc>
        <w:tc>
          <w:tcPr>
            <w:tcW w:type="dxa" w:w="2160"/>
            <w:shd w:fill="E8E8E8"/>
          </w:tcPr>
          <w:p>
            <w:r>
              <w:rPr>
                <w:b/>
                <w:sz w:val="22"/>
                <w:highlight w:val="yellow"/>
              </w:rPr>
              <w:t>Status</w:t>
            </w:r>
          </w:p>
        </w:tc>
      </w:tr>
      <w:tr>
        <w:tc>
          <w:tcPr>
            <w:tcW w:type="dxa" w:w="2160"/>
          </w:tcPr>
          <w:p>
            <w:r>
              <w:rPr>
                <w:highlight w:val="yellow"/>
              </w:rPr>
              <w:t>FY26</w:t>
            </w:r>
          </w:p>
        </w:tc>
        <w:tc>
          <w:tcPr>
            <w:tcW w:type="dxa" w:w="2160"/>
          </w:tcPr>
          <w:p>
            <w:r>
              <w:rPr>
                <w:highlight w:val="yellow"/>
              </w:rPr>
              <w:t>O&amp;M</w:t>
            </w:r>
          </w:p>
        </w:tc>
        <w:tc>
          <w:tcPr>
            <w:tcW w:type="dxa" w:w="2160"/>
          </w:tcPr>
          <w:p>
            <w:r>
              <w:rPr>
                <w:highlight w:val="yellow"/>
              </w:rPr>
              <w:t>$1,150,000</w:t>
            </w:r>
          </w:p>
        </w:tc>
        <w:tc>
          <w:tcPr>
            <w:tcW w:type="dxa" w:w="2160"/>
          </w:tcPr>
          <w:p>
            <w:r>
              <w:rPr>
                <w:highlight w:val="yellow"/>
              </w:rPr>
              <w:t>Programmed</w:t>
            </w:r>
          </w:p>
        </w:tc>
      </w:tr>
      <w:tr>
        <w:tc>
          <w:tcPr>
            <w:tcW w:type="dxa" w:w="2160"/>
          </w:tcPr>
          <w:p>
            <w:r>
              <w:rPr>
                <w:highlight w:val="yellow"/>
              </w:rPr>
              <w:t>FY27</w:t>
            </w:r>
          </w:p>
        </w:tc>
        <w:tc>
          <w:tcPr>
            <w:tcW w:type="dxa" w:w="2160"/>
          </w:tcPr>
          <w:p>
            <w:r>
              <w:rPr>
                <w:highlight w:val="yellow"/>
              </w:rPr>
              <w:t>O&amp;M</w:t>
            </w:r>
          </w:p>
        </w:tc>
        <w:tc>
          <w:tcPr>
            <w:tcW w:type="dxa" w:w="2160"/>
          </w:tcPr>
          <w:p>
            <w:r>
              <w:rPr>
                <w:highlight w:val="yellow"/>
              </w:rPr>
              <w:t>$825,000</w:t>
            </w:r>
          </w:p>
        </w:tc>
        <w:tc>
          <w:tcPr>
            <w:tcW w:type="dxa" w:w="2160"/>
          </w:tcPr>
          <w:p>
            <w:r>
              <w:rPr>
                <w:highlight w:val="yellow"/>
              </w:rPr>
              <w:t>Projected</w:t>
            </w:r>
          </w:p>
        </w:tc>
      </w:tr>
      <w:tr>
        <w:tc>
          <w:tcPr>
            <w:tcW w:type="dxa" w:w="2160"/>
          </w:tcPr>
          <w:p>
            <w:r>
              <w:rPr>
                <w:highlight w:val="yellow"/>
              </w:rPr>
              <w:t>FY28</w:t>
            </w:r>
          </w:p>
        </w:tc>
        <w:tc>
          <w:tcPr>
            <w:tcW w:type="dxa" w:w="2160"/>
          </w:tcPr>
          <w:p>
            <w:r>
              <w:rPr>
                <w:highlight w:val="yellow"/>
              </w:rPr>
              <w:t>O&amp;M</w:t>
            </w:r>
          </w:p>
        </w:tc>
        <w:tc>
          <w:tcPr>
            <w:tcW w:type="dxa" w:w="2160"/>
          </w:tcPr>
          <w:p>
            <w:r>
              <w:rPr>
                <w:highlight w:val="yellow"/>
              </w:rPr>
              <w:t>$825,000</w:t>
            </w:r>
          </w:p>
        </w:tc>
        <w:tc>
          <w:tcPr>
            <w:tcW w:type="dxa" w:w="2160"/>
          </w:tcPr>
          <w:p>
            <w:r>
              <w:rPr>
                <w:highlight w:val="yellow"/>
              </w:rPr>
              <w:t>Projected</w:t>
            </w:r>
          </w:p>
        </w:tc>
      </w:tr>
    </w:tbl>
    <w:p/>
    <w:p>
      <w:pPr>
        <w:pStyle w:val="Heading3"/>
      </w:pPr>
      <w:r>
        <w:t>3.4 Independent Government Cost Estimate (IGCE)</w:t>
      </w:r>
    </w:p>
    <w:p>
      <w:r>
        <w:rPr>
          <w:highlight w:val="yellow"/>
        </w:rPr>
        <w:t>The Independent Government Cost Estimate (IGCE) projects a total program cost of $2,500,000 over the 36-month period of performance consisting of a 12-month base period plus two 12-month option periods (Project Information, 2025). The estimate includes development, production, and operations &amp; maintenance costs across 6 labor categories with hardware, software, and operations components (Project Information, 2025). Complete IGCE documentation is provided in Attachment A.</w:t>
      </w:r>
    </w:p>
    <w:p>
      <w:pPr>
        <w:pStyle w:val="Heading3"/>
      </w:pPr>
      <w:r>
        <w:t>3.5 Budget Constraints</w:t>
      </w:r>
    </w:p>
    <w:p>
      <w:r>
        <w:rPr>
          <w:highlight w:val="yellow"/>
        </w:rPr>
        <w:t>Total program funding is constrained to $2,500,000 across the 36-month period of performance with annual funding limitations based on Operations and Maintenance appropriations (Project Information, 2025).</w:t>
      </w:r>
    </w:p>
    <w:p>
      <w:pPr>
        <w:spacing w:before="120" w:after="120"/>
      </w:pPr>
    </w:p>
    <w:p>
      <w:pPr>
        <w:pStyle w:val="Heading2"/>
      </w:pPr>
      <w:r>
        <w:t>4. CAPABILITY OR REQUIREMENT (FAR 7.105(a)(4))</w:t>
      </w:r>
    </w:p>
    <w:p>
      <w:pPr>
        <w:pStyle w:val="Heading3"/>
      </w:pPr>
      <w:r>
        <w:t>4.1 Requirements Documentation</w:t>
      </w:r>
    </w:p>
    <w:p>
      <w:r>
        <w:rPr>
          <w:b/>
          <w:highlight w:val="yellow"/>
        </w:rPr>
        <w:t>Requirements Documents:</w:t>
      </w:r>
    </w:p>
    <w:p>
      <w:r>
        <w:rPr>
          <w:highlight w:val="yellow"/>
        </w:rPr>
        <w:t>Capability Development Document (CDD), Initial Capabilities Document (ICD), System Requirements Document (SRD) supporting the Advanced Logistics Management System for 2,800 users across 15 Army installations (Project Information, 2025).</w:t>
      </w:r>
    </w:p>
    <w:p>
      <w:pPr>
        <w:pStyle w:val="Heading3"/>
      </w:pPr>
      <w:r>
        <w:t>4.2 Capability Requirements</w:t>
      </w:r>
    </w:p>
    <w:p>
      <w:r>
        <w:rPr>
          <w:highlight w:val="yellow"/>
        </w:rPr>
        <w:t>The system must provide cloud-based logistics management capabilities supporting real-time inventory tracking, automated procurement workflows, and supply chain visibility for 2,800 concurrent users distributed across 15 Army installations (Project Information, 2025).</w:t>
      </w:r>
    </w:p>
    <w:p>
      <w:pPr>
        <w:pStyle w:val="Heading3"/>
      </w:pPr>
      <w:r>
        <w:t>4.3 Performance Requirements</w:t>
      </w:r>
    </w:p>
    <w:p>
      <w:r>
        <w:rPr>
          <w:highlight w:val="yellow"/>
        </w:rPr>
        <w:t>System performance requirements include 99.5% availability, sub-2-second response times for 95% of transactions, and support for 2,800 concurrent users across distributed installations (Project Information, 2025).</w:t>
      </w:r>
    </w:p>
    <w:p>
      <w:pPr>
        <w:pStyle w:val="Heading3"/>
      </w:pPr>
      <w:r>
        <w:t>4.4 Key Performance Parameters (KPPs)</w:t>
      </w:r>
    </w:p>
    <w:p>
      <w:r>
        <w:rPr>
          <w:highlight w:val="yellow"/>
        </w:rPr>
        <w:t>Key Performance Parameters include system availability of 99.5%, user capacity of 2,800 concurrent users, and deployment across 15 Army installations within the 36-month performance period (Project Information, 2025).</w:t>
      </w:r>
    </w:p>
    <w:p>
      <w:pPr>
        <w:pStyle w:val="Heading3"/>
      </w:pPr>
      <w:r>
        <w:t>4.5 Key System Attributes (KSAs)</w:t>
      </w:r>
    </w:p>
    <w:p>
      <w:r>
        <w:rPr>
          <w:highlight w:val="yellow"/>
        </w:rPr>
        <w:t>Key System Attributes include cloud-based architecture, real-time data processing capabilities, and integration with existing Army enterprise systems supporting logistics operations (Project Information, 2025).</w:t>
      </w:r>
    </w:p>
    <w:p>
      <w:pPr>
        <w:pStyle w:val="Heading3"/>
      </w:pPr>
      <w:r>
        <w:t>4.6 Technical Requirements</w:t>
      </w:r>
    </w:p>
    <w:p>
      <w:r>
        <w:rPr>
          <w:highlight w:val="yellow"/>
        </w:rPr>
        <w:t>Technical requirements specify cloud-based deployment supporting 2,800 users across 15 installations with real-time data access, automated inventory management, and integration capabilities with legacy Army logistics systems (Project Information, 2025).</w:t>
      </w:r>
    </w:p>
    <w:p>
      <w:pPr>
        <w:spacing w:before="120" w:after="120"/>
      </w:pPr>
    </w:p>
    <w:p>
      <w:pPr>
        <w:pStyle w:val="Heading2"/>
      </w:pPr>
      <w:r>
        <w:t>5. DELIVERY OR PERFORMANCE-PERIOD REQUIREMENTS (FAR 7.105(a)(5))</w:t>
      </w:r>
    </w:p>
    <w:p>
      <w:pPr>
        <w:pStyle w:val="Heading3"/>
      </w:pPr>
      <w:r>
        <w:t>5.1 Period of Performance</w:t>
      </w:r>
    </w:p>
    <w:p>
      <w:r>
        <w:rPr>
          <w:b/>
          <w:highlight w:val="yellow"/>
        </w:rPr>
        <w:t>Total Period:</w:t>
      </w:r>
      <w:r>
        <w:rPr>
          <w:highlight w:val="yellow"/>
        </w:rPr>
        <w:t xml:space="preserve"> 36 months consisting of a 12-month base period plus two 12-month option periods (Project Information, 2025)</w:t>
      </w:r>
    </w:p>
    <w:p>
      <w:r>
        <w:rPr>
          <w:b/>
          <w:highlight w:val="yellow"/>
        </w:rPr>
        <w:t>Contract Structure:</w:t>
      </w:r>
    </w:p>
    <w:p>
      <w:r>
        <w:rPr>
          <w:highlight w:val="yellow"/>
        </w:rPr>
        <w:t>One 12-month base period plus two 12-month option periods totaling 36 months maximum performance period (Project Information, 2025)</w:t>
      </w:r>
    </w:p>
    <w:p>
      <w:pPr>
        <w:pStyle w:val="Heading3"/>
      </w:pPr>
      <w:r>
        <w:t>5.2 Delivery Schedule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8E8"/>
          </w:tcPr>
          <w:p>
            <w:r>
              <w:rPr>
                <w:b/>
                <w:sz w:val="22"/>
                <w:highlight w:val="yellow"/>
              </w:rPr>
              <w:t>Deliverable</w:t>
            </w:r>
          </w:p>
        </w:tc>
        <w:tc>
          <w:tcPr>
            <w:tcW w:type="dxa" w:w="2160"/>
            <w:shd w:fill="E8E8E8"/>
          </w:tcPr>
          <w:p>
            <w:r>
              <w:rPr>
                <w:b/>
                <w:sz w:val="22"/>
                <w:highlight w:val="yellow"/>
              </w:rPr>
              <w:t>Quantity</w:t>
            </w:r>
          </w:p>
        </w:tc>
        <w:tc>
          <w:tcPr>
            <w:tcW w:type="dxa" w:w="2160"/>
            <w:shd w:fill="E8E8E8"/>
          </w:tcPr>
          <w:p>
            <w:r>
              <w:rPr>
                <w:b/>
                <w:sz w:val="22"/>
                <w:highlight w:val="yellow"/>
              </w:rPr>
              <w:t>Delivery Date</w:t>
            </w:r>
          </w:p>
        </w:tc>
        <w:tc>
          <w:tcPr>
            <w:tcW w:type="dxa" w:w="2160"/>
            <w:shd w:fill="E8E8E8"/>
          </w:tcPr>
          <w:p>
            <w:r>
              <w:rPr>
                <w:b/>
                <w:sz w:val="22"/>
                <w:highlight w:val="yellow"/>
              </w:rPr>
              <w:t>Location</w:t>
            </w:r>
          </w:p>
        </w:tc>
      </w:tr>
      <w:tr>
        <w:tc>
          <w:tcPr>
            <w:tcW w:type="dxa" w:w="2160"/>
          </w:tcPr>
          <w:p>
            <w:r>
              <w:rPr>
                <w:highlight w:val="yellow"/>
              </w:rPr>
              <w:t>System Design</w:t>
            </w:r>
          </w:p>
        </w:tc>
        <w:tc>
          <w:tcPr>
            <w:tcW w:type="dxa" w:w="2160"/>
          </w:tcPr>
          <w:p>
            <w:r>
              <w:rPr>
                <w:highlight w:val="yellow"/>
              </w:rPr>
              <w:t>1</w:t>
            </w:r>
          </w:p>
        </w:tc>
        <w:tc>
          <w:tcPr>
            <w:tcW w:type="dxa" w:w="2160"/>
          </w:tcPr>
          <w:p>
            <w:r>
              <w:rPr>
                <w:highlight w:val="yellow"/>
              </w:rPr>
              <w:t>Month 3</w:t>
            </w:r>
          </w:p>
        </w:tc>
        <w:tc>
          <w:tcPr>
            <w:tcW w:type="dxa" w:w="2160"/>
          </w:tcPr>
          <w:p>
            <w:r>
              <w:rPr>
                <w:highlight w:val="yellow"/>
              </w:rPr>
              <w:t>Fort Lee, VA</w:t>
            </w:r>
          </w:p>
        </w:tc>
      </w:tr>
      <w:tr>
        <w:tc>
          <w:tcPr>
            <w:tcW w:type="dxa" w:w="2160"/>
          </w:tcPr>
          <w:p>
            <w:r>
              <w:rPr>
                <w:highlight w:val="yellow"/>
              </w:rPr>
              <w:t>Development Complete</w:t>
            </w:r>
          </w:p>
        </w:tc>
        <w:tc>
          <w:tcPr>
            <w:tcW w:type="dxa" w:w="2160"/>
          </w:tcPr>
          <w:p>
            <w:r>
              <w:rPr>
                <w:highlight w:val="yellow"/>
              </w:rPr>
              <w:t>1</w:t>
            </w:r>
          </w:p>
        </w:tc>
        <w:tc>
          <w:tcPr>
            <w:tcW w:type="dxa" w:w="2160"/>
          </w:tcPr>
          <w:p>
            <w:r>
              <w:rPr>
                <w:highlight w:val="yellow"/>
              </w:rPr>
              <w:t>Month 9</w:t>
            </w:r>
          </w:p>
        </w:tc>
        <w:tc>
          <w:tcPr>
            <w:tcW w:type="dxa" w:w="2160"/>
          </w:tcPr>
          <w:p>
            <w:r>
              <w:rPr>
                <w:highlight w:val="yellow"/>
              </w:rPr>
              <w:t>Fort Lee, VA</w:t>
            </w:r>
          </w:p>
        </w:tc>
      </w:tr>
      <w:tr>
        <w:tc>
          <w:tcPr>
            <w:tcW w:type="dxa" w:w="2160"/>
          </w:tcPr>
          <w:p>
            <w:r>
              <w:rPr>
                <w:highlight w:val="yellow"/>
              </w:rPr>
              <w:t>Initial Deployment</w:t>
            </w:r>
          </w:p>
        </w:tc>
        <w:tc>
          <w:tcPr>
            <w:tcW w:type="dxa" w:w="2160"/>
          </w:tcPr>
          <w:p>
            <w:r>
              <w:rPr>
                <w:highlight w:val="yellow"/>
              </w:rPr>
              <w:t>15 installations</w:t>
            </w:r>
          </w:p>
        </w:tc>
        <w:tc>
          <w:tcPr>
            <w:tcW w:type="dxa" w:w="2160"/>
          </w:tcPr>
          <w:p>
            <w:r>
              <w:rPr>
                <w:highlight w:val="yellow"/>
              </w:rPr>
              <w:t>Month 12</w:t>
            </w:r>
          </w:p>
        </w:tc>
        <w:tc>
          <w:tcPr>
            <w:tcW w:type="dxa" w:w="2160"/>
          </w:tcPr>
          <w:p>
            <w:r>
              <w:rPr>
                <w:highlight w:val="yellow"/>
              </w:rPr>
              <w:t>CONUS installations</w:t>
            </w:r>
          </w:p>
        </w:tc>
      </w:tr>
      <w:tr>
        <w:tc>
          <w:tcPr>
            <w:tcW w:type="dxa" w:w="2160"/>
          </w:tcPr>
          <w:p>
            <w:r>
              <w:rPr>
                <w:highlight w:val="yellow"/>
              </w:rPr>
              <w:t>Full Operational Capability</w:t>
            </w:r>
          </w:p>
        </w:tc>
        <w:tc>
          <w:tcPr>
            <w:tcW w:type="dxa" w:w="2160"/>
          </w:tcPr>
          <w:p>
            <w:r>
              <w:rPr>
                <w:highlight w:val="yellow"/>
              </w:rPr>
              <w:t>2,800 users</w:t>
            </w:r>
          </w:p>
        </w:tc>
        <w:tc>
          <w:tcPr>
            <w:tcW w:type="dxa" w:w="2160"/>
          </w:tcPr>
          <w:p>
            <w:r>
              <w:rPr>
                <w:highlight w:val="yellow"/>
              </w:rPr>
              <w:t>Month 18</w:t>
            </w:r>
          </w:p>
        </w:tc>
        <w:tc>
          <w:tcPr>
            <w:tcW w:type="dxa" w:w="2160"/>
          </w:tcPr>
          <w:p>
            <w:r>
              <w:rPr>
                <w:highlight w:val="yellow"/>
              </w:rPr>
              <w:t>15 Army installations</w:t>
            </w:r>
          </w:p>
        </w:tc>
      </w:tr>
    </w:tbl>
    <w:p/>
    <w:p>
      <w:pPr>
        <w:pStyle w:val="Heading3"/>
      </w:pPr>
      <w:r>
        <w:t>5.3 Performance Milestones</w:t>
      </w:r>
    </w:p>
    <w:p>
      <w:r>
        <w:rPr>
          <w:highlight w:val="yellow"/>
        </w:rPr>
        <w:t>Key milestones include Contract Award (August 2026), System Design Review (Month 3), Development Complete (Month 9), Initial Operational Capability (June 2026), and Full Operational Capability (December 2026) (Project Information, 2025).</w:t>
      </w:r>
    </w:p>
    <w:p>
      <w:pPr>
        <w:pStyle w:val="Heading3"/>
      </w:pPr>
      <w:r>
        <w:t>5.4 Operational Capability Milestones</w:t>
      </w:r>
    </w:p>
    <w:p>
      <w:r>
        <w:rPr>
          <w:b/>
          <w:highlight w:val="yellow"/>
        </w:rPr>
        <w:t>Initial Operational Capability (IOC):</w:t>
      </w:r>
      <w:r>
        <w:rPr>
          <w:highlight w:val="yellow"/>
        </w:rPr>
        <w:t xml:space="preserve"> June 2026 (Project Information, 2025) </w:t>
      </w:r>
      <w:r>
        <w:rPr>
          <w:b/>
          <w:highlight w:val="yellow"/>
        </w:rPr>
        <w:t>Full Operational Capability (FOC):</w:t>
      </w:r>
      <w:r>
        <w:rPr>
          <w:highlight w:val="yellow"/>
        </w:rPr>
        <w:t xml:space="preserve"> December 2026 (Project Information, 2025)</w:t>
      </w:r>
    </w:p>
    <w:p>
      <w:r>
        <w:rPr>
          <w:b/>
          <w:highlight w:val="yellow"/>
        </w:rPr>
        <w:t>Capability Criteria:</w:t>
      </w:r>
      <w:r>
        <w:rPr>
          <w:highlight w:val="yellow"/>
        </w:rPr>
        <w:t xml:space="preserve"> System will be considered operationally capable upon successful deployment to 15 Army installations supporting 2,800 users with Authority to Operate (ATO) approval (Project Information, 2025).</w:t>
      </w:r>
    </w:p>
    <w:p>
      <w:r>
        <w:rPr>
          <w:b/>
          <w:highlight w:val="yellow"/>
        </w:rPr>
        <w:t>Phase-In Approach:</w:t>
      </w:r>
      <w:r>
        <w:rPr>
          <w:highlight w:val="yellow"/>
        </w:rPr>
        <w:t xml:space="preserve"> Phased deployment across 15 installations over the 6-month period from IOC to FOC (Project Information, 2025)</w:t>
      </w:r>
    </w:p>
    <w:p>
      <w:pPr>
        <w:spacing w:before="120" w:after="120"/>
      </w:pPr>
    </w:p>
    <w:p>
      <w:pPr>
        <w:pStyle w:val="Heading2"/>
      </w:pPr>
      <w:r>
        <w:t>6. TRADE-OFFS (FAR 7.105(a)(6))</w:t>
      </w:r>
    </w:p>
    <w:p>
      <w:pPr>
        <w:pStyle w:val="Heading3"/>
      </w:pPr>
      <w:r>
        <w:t>6.1 Cost vs. Performance Trade-offs</w:t>
      </w:r>
    </w:p>
    <w:p>
      <w:r>
        <w:rPr>
          <w:highlight w:val="yellow"/>
        </w:rPr>
        <w:t>Under this $2,500,000 firm-fixed-price contract, the government transfers cost risk to the contractor while potentially limiting performance optimization beyond the specified requirements for 2,800 users across 15 installations (Project Information, 2025). The FFP structure provides cost certainty within the $2,500,000 budget constraint but may result in a baseline solution that meets minimum requirements rather than delivering enhanced performance features. To mitigate performance risks, the government will establish detailed technical specifications for the 2,800-user, 15-installation deployment and comprehensive acceptance criteria upfront (Project Information, 2025).</w:t>
      </w:r>
    </w:p>
    <w:p>
      <w:pPr>
        <w:pStyle w:val="Heading3"/>
      </w:pPr>
      <w:r>
        <w:t>6.2 Schedule vs. Performance Trade-offs</w:t>
      </w:r>
    </w:p>
    <w:p>
      <w:r>
        <w:rPr>
          <w:highlight w:val="yellow"/>
        </w:rPr>
        <w:t>For the Advanced Logistics Management System acquisition, accelerating the 36-month development timeline could require reducing system functionality or limiting initial deployment to fewer than 15 installations with gradual expansion to the full 2,800-user capacity (Project Information, 2025). Conversely, pursuing full performance requirements including comprehensive real-time visibility and seamless integration with legacy systems may necessitate utilizing both 12-month option periods to achieve Full Operational Capability by December 2026 (Project Information, 2025). The modular contract structure provides flexibility to reassess these trade-offs at each 12-month decision point.</w:t>
      </w:r>
    </w:p>
    <w:p>
      <w:pPr>
        <w:pStyle w:val="Heading3"/>
      </w:pPr>
      <w:r>
        <w:t>6.3 Risk Considerations</w:t>
      </w:r>
    </w:p>
    <w:p>
      <w:r>
        <w:rPr>
          <w:b/>
          <w:highlight w:val="yellow"/>
        </w:rPr>
        <w:t>Risk Considerations:</w:t>
      </w:r>
    </w:p>
    <w:p>
      <w:r>
        <w:rPr>
          <w:highlight w:val="yellow"/>
        </w:rPr>
        <w:t>The Advanced Logistics Management System acquisition presents technical integration risks related to deploying cloud-based capabilities across 15 geographically distributed Army installations while maintaining operational continuity for 2,800 users (Project Information, 2025). Performance risks include potential system downtime during migration, data synchronization challenges across installations, and the contractor's ability to deliver complex logistics capabilities within the $2,500,000 budget and 36-month timeline constraints (Project Information, 2025). Additionally, vendor dependency risks must be evaluated regarding long-term system maintenance, cybersecurity compliance, and the supplier's capacity to support 2,800 concurrent users across distributed installations.</w:t>
      </w:r>
    </w:p>
    <w:p>
      <w:r>
        <w:rPr>
          <w:b/>
          <w:highlight w:val="yellow"/>
        </w:rPr>
        <w:t>Analysis Methodology:</w:t>
      </w:r>
      <w:r>
        <w:rPr>
          <w:highlight w:val="yellow"/>
        </w:rPr>
        <w:t xml:space="preserve"> Trade-off analysis will be conducted using weighted scoring criteria aligned with evaluation factors under FAR 15.3 procedures (FAR 15.3, 2023). The Source Selection Authority will make final trade-off decisions based on best value to the Government.</w:t>
      </w:r>
    </w:p>
    <w:p>
      <w:pPr>
        <w:spacing w:before="120" w:after="120"/>
      </w:pPr>
    </w:p>
    <w:p>
      <w:pPr>
        <w:pStyle w:val="Heading2"/>
      </w:pPr>
      <w:r>
        <w:t>7. ACQUISITION STREAMLINING (FAR 7.105(a)(7))</w:t>
      </w:r>
    </w:p>
    <w:p>
      <w:pPr>
        <w:pStyle w:val="Heading3"/>
      </w:pPr>
      <w:r>
        <w:t>7.1 Streamlining Opportunities</w:t>
      </w:r>
    </w:p>
    <w:p>
      <w:r>
        <w:rPr>
          <w:highlight w:val="yellow"/>
        </w:rPr>
        <w:t>The Advanced Logistics Management System can leverage existing GSA Schedule 70 and OASIS+ contract vehicles to eliminate lengthy competitive procurement processes while maintaining competition among pre-qualified contractors (GSA Schedule 70, 2023). The program can adopt commercial acquisition practices by utilizing the Firm-Fixed-Price structure to transfer performance risk to the contractor while streamlining oversight requirements through deliverable-based milestones tied to the 15-installation deployment schedule (Project Information, 2025). Additionally, the Small Business Set-Aside under NAICS code 541512 enables simplified procurement procedures with reduced documentation requirements compared to unrestricted competitions (Project Information, 2025).</w:t>
      </w:r>
    </w:p>
    <w:p>
      <w:pPr>
        <w:pStyle w:val="Heading3"/>
      </w:pPr>
      <w:r>
        <w:t>7.2 Commercial Item Determination</w:t>
      </w:r>
    </w:p>
    <w:p>
      <w:r>
        <w:rPr>
          <w:b/>
          <w:highlight w:val="yellow"/>
        </w:rPr>
        <w:t>Commercial Item Determination:</w:t>
      </w:r>
    </w:p>
    <w:p>
      <w:r>
        <w:rPr>
          <w:highlight w:val="yellow"/>
        </w:rPr>
        <w:t>The Advanced Logistics Management System will likely qualify as a commercial item under FAR 2.101 if based on existing commercial software platforms regularly sold to federal agencies or commercial entities (FAR 2.101, 2023). However, if the system requires government-unique customization beyond standard commercial practices to support the specific 2,800-user, 15-installation Army deployment, it would not meet the commercial item definition and should be acquired using traditional contracting methods (Project Information, 2025).</w:t>
      </w:r>
    </w:p>
    <w:p>
      <w:r>
        <w:rPr>
          <w:b/>
          <w:highlight w:val="yellow"/>
        </w:rPr>
        <w:t>Additional Streamlining Measures:</w:t>
      </w:r>
      <w:r>
        <w:rPr>
          <w:highlight w:val="yellow"/>
        </w:rPr>
        <w:t xml:space="preserve"> This acquisition will leverage performance-based contracting principles with objective, measurable performance standards tied to the 2,800-user capacity and 15-installation deployment requirements (Project Information, 2025). Modular contracting approaches will be considered for phased delivery across installations.</w:t>
      </w:r>
    </w:p>
    <w:p>
      <w:pPr>
        <w:spacing w:before="120" w:after="120"/>
      </w:pPr>
    </w:p>
    <w:p>
      <w:pPr>
        <w:pStyle w:val="Heading2"/>
      </w:pPr>
      <w:r>
        <w:t>8. CONTRACT TYPE DETERMINATION (FAR 7.105(a)(8))</w:t>
      </w:r>
    </w:p>
    <w:p>
      <w:pPr>
        <w:pStyle w:val="Heading3"/>
      </w:pPr>
      <w:r>
        <w:t>8.1 Recommended Contract Type</w:t>
      </w:r>
    </w:p>
    <w:p>
      <w:r>
        <w:rPr>
          <w:b/>
          <w:highlight w:val="yellow"/>
        </w:rPr>
        <w:t>Primary Contract Type:</w:t>
      </w:r>
      <w:r>
        <w:rPr>
          <w:highlight w:val="yellow"/>
        </w:rPr>
        <w:t xml:space="preserve"> Firm Fixed Price (Project Information, 2025)</w:t>
      </w:r>
    </w:p>
    <w:p>
      <w:r>
        <w:rPr>
          <w:b/>
          <w:highlight w:val="yellow"/>
        </w:rPr>
        <w:t>Rationale:</w:t>
      </w:r>
      <w:r>
        <w:rPr>
          <w:highlight w:val="yellow"/>
        </w:rPr>
        <w:t xml:space="preserve"> Based on well-defined requirements for 2,800 users across 15 installations and estimated value of $2,500,000 with manageable technical risk (Project Information, 2025)</w:t>
      </w:r>
    </w:p>
    <w:p>
      <w:pPr>
        <w:pStyle w:val="Heading3"/>
      </w:pPr>
      <w:r>
        <w:t>8.2 Contract Type Analysis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8E8E8"/>
          </w:tcPr>
          <w:p>
            <w:r>
              <w:rPr>
                <w:b/>
                <w:sz w:val="22"/>
                <w:highlight w:val="yellow"/>
              </w:rPr>
              <w:t>Contract Type</w:t>
            </w:r>
          </w:p>
        </w:tc>
        <w:tc>
          <w:tcPr>
            <w:tcW w:type="dxa" w:w="1728"/>
            <w:shd w:fill="E8E8E8"/>
          </w:tcPr>
          <w:p>
            <w:r>
              <w:rPr>
                <w:b/>
                <w:sz w:val="22"/>
                <w:highlight w:val="yellow"/>
              </w:rPr>
              <w:t>Advantages</w:t>
            </w:r>
          </w:p>
        </w:tc>
        <w:tc>
          <w:tcPr>
            <w:tcW w:type="dxa" w:w="1728"/>
            <w:shd w:fill="E8E8E8"/>
          </w:tcPr>
          <w:p>
            <w:r>
              <w:rPr>
                <w:b/>
                <w:sz w:val="22"/>
                <w:highlight w:val="yellow"/>
              </w:rPr>
              <w:t>Disadvantages</w:t>
            </w:r>
          </w:p>
        </w:tc>
        <w:tc>
          <w:tcPr>
            <w:tcW w:type="dxa" w:w="1728"/>
            <w:shd w:fill="E8E8E8"/>
          </w:tcPr>
          <w:p>
            <w:r>
              <w:rPr>
                <w:b/>
                <w:sz w:val="22"/>
                <w:highlight w:val="yellow"/>
              </w:rPr>
              <w:t>Risk Level</w:t>
            </w:r>
          </w:p>
        </w:tc>
        <w:tc>
          <w:tcPr>
            <w:tcW w:type="dxa" w:w="1728"/>
            <w:shd w:fill="E8E8E8"/>
          </w:tcPr>
          <w:p>
            <w:r>
              <w:rPr>
                <w:b/>
                <w:sz w:val="22"/>
                <w:highlight w:val="yellow"/>
              </w:rPr>
              <w:t>Recommendation</w:t>
            </w:r>
          </w:p>
        </w:tc>
      </w:tr>
      <w:tr>
        <w:tc>
          <w:tcPr>
            <w:tcW w:type="dxa" w:w="1728"/>
          </w:tcPr>
          <w:p>
            <w:r>
              <w:rPr>
                <w:highlight w:val="yellow"/>
              </w:rPr>
              <w:t>Firm Fixed Price</w:t>
            </w:r>
          </w:p>
        </w:tc>
        <w:tc>
          <w:tcPr>
            <w:tcW w:type="dxa" w:w="1728"/>
          </w:tcPr>
          <w:p>
            <w:r>
              <w:rPr>
                <w:highlight w:val="yellow"/>
              </w:rPr>
              <w:t>Cost certainty, contractor risk</w:t>
            </w:r>
          </w:p>
        </w:tc>
        <w:tc>
          <w:tcPr>
            <w:tcW w:type="dxa" w:w="1728"/>
          </w:tcPr>
          <w:p>
            <w:r>
              <w:rPr>
                <w:highlight w:val="yellow"/>
              </w:rPr>
              <w:t>Limited flexibility</w:t>
            </w:r>
          </w:p>
        </w:tc>
        <w:tc>
          <w:tcPr>
            <w:tcW w:type="dxa" w:w="1728"/>
          </w:tcPr>
          <w:p>
            <w:r>
              <w:rPr>
                <w:highlight w:val="yellow"/>
              </w:rPr>
              <w:t>Low-Medium</w:t>
            </w:r>
          </w:p>
        </w:tc>
        <w:tc>
          <w:tcPr>
            <w:tcW w:type="dxa" w:w="1728"/>
          </w:tcPr>
          <w:p>
            <w:r>
              <w:rPr>
                <w:highlight w:val="yellow"/>
              </w:rPr>
              <w:t>Recommended</w:t>
            </w:r>
          </w:p>
        </w:tc>
      </w:tr>
      <w:tr>
        <w:tc>
          <w:tcPr>
            <w:tcW w:type="dxa" w:w="1728"/>
          </w:tcPr>
          <w:p>
            <w:r>
              <w:rPr>
                <w:highlight w:val="yellow"/>
              </w:rPr>
              <w:t>Cost Plus Fixed Fee</w:t>
            </w:r>
          </w:p>
        </w:tc>
        <w:tc>
          <w:tcPr>
            <w:tcW w:type="dxa" w:w="1728"/>
          </w:tcPr>
          <w:p>
            <w:r>
              <w:rPr>
                <w:highlight w:val="yellow"/>
              </w:rPr>
              <w:t>Flexibility, shared risk</w:t>
            </w:r>
          </w:p>
        </w:tc>
        <w:tc>
          <w:tcPr>
            <w:tcW w:type="dxa" w:w="1728"/>
          </w:tcPr>
          <w:p>
            <w:r>
              <w:rPr>
                <w:highlight w:val="yellow"/>
              </w:rPr>
              <w:t>Cost uncertainty</w:t>
            </w:r>
          </w:p>
        </w:tc>
        <w:tc>
          <w:tcPr>
            <w:tcW w:type="dxa" w:w="1728"/>
          </w:tcPr>
          <w:p>
            <w:r>
              <w:rPr>
                <w:highlight w:val="yellow"/>
              </w:rPr>
              <w:t>Medium-High</w:t>
            </w:r>
          </w:p>
        </w:tc>
        <w:tc>
          <w:tcPr>
            <w:tcW w:type="dxa" w:w="1728"/>
          </w:tcPr>
          <w:p>
            <w:r>
              <w:rPr>
                <w:highlight w:val="yellow"/>
              </w:rPr>
              <w:t>Not Recommended</w:t>
            </w:r>
          </w:p>
        </w:tc>
      </w:tr>
      <w:tr>
        <w:tc>
          <w:tcPr>
            <w:tcW w:type="dxa" w:w="1728"/>
          </w:tcPr>
          <w:p>
            <w:r>
              <w:rPr>
                <w:highlight w:val="yellow"/>
              </w:rPr>
              <w:t>Time &amp; Materials</w:t>
            </w:r>
          </w:p>
        </w:tc>
        <w:tc>
          <w:tcPr>
            <w:tcW w:type="dxa" w:w="1728"/>
          </w:tcPr>
          <w:p>
            <w:r>
              <w:rPr>
                <w:highlight w:val="yellow"/>
              </w:rPr>
              <w:t>Maximum flexibility</w:t>
            </w:r>
          </w:p>
        </w:tc>
        <w:tc>
          <w:tcPr>
            <w:tcW w:type="dxa" w:w="1728"/>
          </w:tcPr>
          <w:p>
            <w:r>
              <w:rPr>
                <w:highlight w:val="yellow"/>
              </w:rPr>
              <w:t>High cost risk</w:t>
            </w:r>
          </w:p>
        </w:tc>
        <w:tc>
          <w:tcPr>
            <w:tcW w:type="dxa" w:w="1728"/>
          </w:tcPr>
          <w:p>
            <w:r>
              <w:rPr>
                <w:highlight w:val="yellow"/>
              </w:rPr>
              <w:t>High</w:t>
            </w:r>
          </w:p>
        </w:tc>
        <w:tc>
          <w:tcPr>
            <w:tcW w:type="dxa" w:w="1728"/>
          </w:tcPr>
          <w:p>
            <w:r>
              <w:rPr>
                <w:highlight w:val="yellow"/>
              </w:rPr>
              <w:t>Not Recommended</w:t>
            </w:r>
          </w:p>
        </w:tc>
      </w:tr>
    </w:tbl>
    <w:p/>
    <w:p>
      <w:pPr>
        <w:pStyle w:val="Heading3"/>
      </w:pPr>
      <w:r>
        <w:t>8.3 Incentive Structure</w:t>
      </w:r>
    </w:p>
    <w:p>
      <w:r>
        <w:rPr>
          <w:highlight w:val="yellow"/>
        </w:rPr>
        <w:t>Award fee structure up to 10% of base fee tied to performance metrics including on-time delivery to 15 installations and achievement of 2,800-user capacity (Project Information, 2025)</w:t>
      </w:r>
    </w:p>
    <w:p>
      <w:pPr>
        <w:pStyle w:val="Heading3"/>
      </w:pPr>
      <w:r>
        <w:t>8.4 Contract Line Item Number (CLIN) Structure</w:t>
      </w:r>
    </w:p>
    <w:p>
      <w:r>
        <w:rPr>
          <w:highlight w:val="yellow"/>
        </w:rPr>
        <w:t>CLIN 0001: Base Year Development and Implementation CLIN 1001: Option Year 1 Operations and Maintenance CLIN 2001: Option Year 2 Operations and Maintenance</w:t>
      </w:r>
    </w:p>
    <w:p>
      <w:pPr>
        <w:pStyle w:val="Heading3"/>
      </w:pPr>
      <w:r>
        <w:t>8.5 Option Periods</w:t>
      </w:r>
    </w:p>
    <w:p>
      <w:r>
        <w:rPr>
          <w:highlight w:val="yellow"/>
        </w:rPr>
        <w:t>Two 12-month option periods exercisable at government discretion based on performance and continued mission need for the 15-installation deployment (Project Information, 2025)</w:t>
      </w:r>
    </w:p>
    <w:p>
      <w:pPr>
        <w:spacing w:before="120" w:after="120"/>
      </w:pPr>
    </w:p>
    <w:p>
      <w:pPr>
        <w:spacing w:before="120" w:after="120"/>
      </w:pPr>
    </w:p>
    <w:p>
      <w:pPr>
        <w:pStyle w:val="Heading2"/>
      </w:pPr>
      <w:r>
        <w:t>References and Source Documents</w:t>
      </w:r>
    </w:p>
    <w:p>
      <w:r>
        <w:rPr>
          <w:highlight w:val="yellow"/>
        </w:rPr>
        <w:t>This document was generated using the following source materials:</w:t>
      </w:r>
    </w:p>
    <w:p>
      <w:pPr>
        <w:pStyle w:val="ListNumber"/>
      </w:pPr>
      <w:r>
        <w:rPr>
          <w:b/>
          <w:highlight w:val="yellow"/>
        </w:rPr>
        <w:t>Alms Kpp Ksa Complete</w:t>
      </w:r>
    </w:p>
    <w:p>
      <w:pPr>
        <w:pStyle w:val="ListBullet"/>
      </w:pPr>
      <w:r>
        <w:rPr>
          <w:highlight w:val="yellow"/>
        </w:rPr>
        <w:t>Document: `alms-kpp-ksa-complete.md`</w:t>
      </w:r>
    </w:p>
    <w:p>
      <w:pPr>
        <w:pStyle w:val="ListBullet"/>
      </w:pPr>
      <w:r>
        <w:rPr>
          <w:highlight w:val="yellow"/>
        </w:rPr>
        <w:t>Used for: Program requirements, specifications, and source data</w:t>
      </w:r>
    </w:p>
    <w:p>
      <w:pPr>
        <w:pStyle w:val="ListNumber"/>
      </w:pPr>
      <w:r>
        <w:rPr>
          <w:b/>
          <w:highlight w:val="yellow"/>
        </w:rPr>
        <w:t>13 Cdd Alms</w:t>
      </w:r>
    </w:p>
    <w:p>
      <w:pPr>
        <w:pStyle w:val="ListBullet"/>
      </w:pPr>
      <w:r>
        <w:rPr>
          <w:highlight w:val="yellow"/>
        </w:rPr>
        <w:t>Document: `13_CDD_ALMS.md`</w:t>
      </w:r>
    </w:p>
    <w:p>
      <w:pPr>
        <w:pStyle w:val="ListBullet"/>
      </w:pPr>
      <w:r>
        <w:rPr>
          <w:highlight w:val="yellow"/>
        </w:rPr>
        <w:t>Used for: Program requirements, specifications, and source data</w:t>
      </w:r>
    </w:p>
    <w:p>
      <w:pPr>
        <w:pStyle w:val="ListNumber"/>
      </w:pPr>
      <w:r>
        <w:rPr>
          <w:b/>
          <w:highlight w:val="yellow"/>
        </w:rPr>
        <w:t>9 Acquisition Strategy Alms</w:t>
      </w:r>
    </w:p>
    <w:p>
      <w:pPr>
        <w:pStyle w:val="ListBullet"/>
      </w:pPr>
      <w:r>
        <w:rPr>
          <w:highlight w:val="yellow"/>
        </w:rPr>
        <w:t>Document: `9_acquisition_strategy_ALMS.md`</w:t>
      </w:r>
    </w:p>
    <w:p>
      <w:pPr>
        <w:pStyle w:val="ListBullet"/>
      </w:pPr>
      <w:r>
        <w:rPr>
          <w:highlight w:val="yellow"/>
        </w:rPr>
        <w:t>Used for: Program requirements, specifications, and source data</w:t>
      </w:r>
    </w:p>
    <w:p>
      <w:pPr>
        <w:spacing w:before="120" w:after="120"/>
      </w:pPr>
    </w:p>
    <w:p>
      <w:r>
        <w:rPr>
          <w:highlight w:val="yellow"/>
        </w:rPr>
        <w:t>*Generated by DoD Acquisition Automation System* *Generation Date: 2025-12-18 21:08:49* *Program: Advanced Logistics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ACQUISITION PLAN</dc:title>
  <dc:subject>Advanced Logistics Management System</dc:subject>
  <dc:creator>DoD Acquisition Automation System</dc:creator>
  <cp:keywords>Advanced Logistics Management System, AI-Generated, Acquisition Document, Review Required</cp:keywords>
  <dc:description>Generated by AI - All content highlighted in YELLOW is AI-generated. Review all sections before use. Track changes enabled for editing.</dc:description>
  <cp:lastModifiedBy/>
  <cp:revision>1</cp:revision>
  <dcterms:created xsi:type="dcterms:W3CDTF">2013-12-23T23:15:00Z</dcterms:created>
  <dcterms:modified xsi:type="dcterms:W3CDTF">2013-12-23T23:15:00Z</dcterms:modified>
  <cp:category/>
</cp:coreProperties>
</file>