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SECTION M - EVALUATION FACTORS FOR AWARD</w:t>
      </w:r>
    </w:p>
    <w:p>
      <w:r>
        <w:rPr>
          <w:b/>
        </w:rPr>
        <w:t>Solicitation Number:</w:t>
      </w:r>
      <w:r>
        <w:t xml:space="preserve"> W56KGU-25-R-0042 </w:t>
      </w:r>
      <w:r>
        <w:rPr>
          <w:b/>
        </w:rPr>
        <w:t>Contract Title:</w:t>
      </w:r>
      <w:r>
        <w:t xml:space="preserve"> Advanced Logistics Management System </w:t>
      </w:r>
      <w:r>
        <w:rPr>
          <w:b/>
        </w:rPr>
        <w:t>Issued By:</w:t>
      </w:r>
      <w:r>
        <w:t xml:space="preserve"> United States Army </w:t>
      </w:r>
      <w:r>
        <w:rPr>
          <w:b/>
        </w:rPr>
        <w:t>Date Issued:</w:t>
      </w:r>
      <w:r>
        <w:t xml:space="preserve"> September 1, 2025 (Project Information, 2025)</w:t>
      </w:r>
    </w:p>
    <w:p>
      <w:pPr>
        <w:spacing w:before="120" w:after="120"/>
      </w:pPr>
    </w:p>
    <w:p>
      <w:pPr>
        <w:pStyle w:val="Heading2"/>
      </w:pPr>
      <w:r>
        <w:t>M.1 GENERAL INFORMATION</w:t>
      </w:r>
    </w:p>
    <w:p>
      <w:pPr>
        <w:pStyle w:val="Heading3"/>
      </w:pPr>
      <w:r>
        <w:t>M.1.1 Evaluation Process</w:t>
      </w:r>
    </w:p>
    <w:p>
      <w:r>
        <w:rPr>
          <w:highlight w:val="yellow"/>
        </w:rPr>
        <w:t>This section describes the evaluation methodology that will be used to evaluate proposals submitted in response to this Request for Proposal (RFP). The Government will evaluate proposals in accordance with Federal Acquisition Regulation (FAR) Part 15, Subpart 15.3 (FAR 15.3, 2024).</w:t>
      </w:r>
    </w:p>
    <w:p>
      <w:pPr>
        <w:pStyle w:val="Heading3"/>
      </w:pPr>
      <w:r>
        <w:t>M.1.2 Source Selection Authority</w:t>
      </w:r>
    </w:p>
    <w:p>
      <w:r>
        <w:rPr>
          <w:highlight w:val="yellow"/>
        </w:rPr>
        <w:t xml:space="preserve">The Source Selection Authority (SSA) for this acquisition is: </w:t>
      </w:r>
      <w:r>
        <w:rPr>
          <w:b/>
          <w:highlight w:val="yellow"/>
        </w:rPr>
        <w:t>LTC Michael Chen, Contracting Officer</w:t>
      </w:r>
      <w:r>
        <w:rPr>
          <w:highlight w:val="yellow"/>
        </w:rPr>
        <w:t xml:space="preserve"> (Project Information, 2025)</w:t>
      </w:r>
    </w:p>
    <w:p>
      <w:r>
        <w:rPr>
          <w:highlight w:val="yellow"/>
        </w:rPr>
        <w:t>The SSA has the ultimate responsibility for source selection and award decision per FAR 15.303 (FAR 15.303, 2024).</w:t>
      </w:r>
    </w:p>
    <w:p>
      <w:pPr>
        <w:pStyle w:val="Heading3"/>
      </w:pPr>
      <w:r>
        <w:t>M.1.3 Evaluation Team</w:t>
      </w:r>
    </w:p>
    <w:p>
      <w:r>
        <w:rPr>
          <w:highlight w:val="yellow"/>
        </w:rPr>
        <w:t>A Source Selection Evaluation Board (SSEB) will be established to evaluate proposals. The SSEB will consist of qualified Government personnel with expertise in:</w:t>
      </w:r>
    </w:p>
    <w:p>
      <w:pPr>
        <w:pStyle w:val="ListBullet"/>
      </w:pPr>
      <w:r>
        <w:rPr>
          <w:highlight w:val="yellow"/>
        </w:rPr>
        <w:t>Technical evaluation for Advanced Logistics Management System implementation (Project Information, 2025)</w:t>
      </w:r>
    </w:p>
    <w:p>
      <w:pPr>
        <w:pStyle w:val="ListBullet"/>
      </w:pPr>
      <w:r>
        <w:rPr>
          <w:highlight w:val="yellow"/>
        </w:rPr>
        <w:t>Management evaluation for 36-month performance periods (Project Information, 2025)</w:t>
      </w:r>
    </w:p>
    <w:p>
      <w:pPr>
        <w:pStyle w:val="ListBullet"/>
      </w:pPr>
      <w:r>
        <w:rPr>
          <w:highlight w:val="yellow"/>
        </w:rPr>
        <w:t>Past performance assessment per FAR 15.305(a)(2) (FAR 15.305, 2024)</w:t>
      </w:r>
    </w:p>
    <w:p>
      <w:pPr>
        <w:pStyle w:val="ListBullet"/>
      </w:pPr>
      <w:r>
        <w:rPr>
          <w:highlight w:val="yellow"/>
        </w:rPr>
        <w:t>Cost/price analysis for $2,500,000 estimated value contracts (Project Information, 2025)</w:t>
      </w:r>
    </w:p>
    <w:p>
      <w:pPr>
        <w:spacing w:before="120" w:after="120"/>
      </w:pPr>
    </w:p>
    <w:p>
      <w:pPr>
        <w:pStyle w:val="Heading2"/>
      </w:pPr>
      <w:r>
        <w:t>M.2 EVALUATION METHODOLOGY</w:t>
      </w:r>
    </w:p>
    <w:p>
      <w:pPr>
        <w:pStyle w:val="Heading3"/>
      </w:pPr>
      <w:r>
        <w:t>M.2.1 Source Selection Approach</w:t>
      </w:r>
    </w:p>
    <w:p>
      <w:r>
        <w:rPr>
          <w:b/>
          <w:highlight w:val="yellow"/>
        </w:rPr>
        <w:t>This acquisition will use: BEST VALUE TRADE-OFF PROCESS</w:t>
      </w:r>
    </w:p>
    <w:p>
      <w:r>
        <w:rPr>
          <w:highlight w:val="yellow"/>
        </w:rPr>
        <w:t>Award will be made to the offeror whose proposal provides the best value to the Government, considering technical merit, past performance, and cost/price per FAR 15.101-1 (FAR 15.101-1, 2024). The Government may make trade-offs among cost/price and non-cost factors and may award to other than the lowest priced offeror or other than the highest technically rated offeror.</w:t>
      </w:r>
    </w:p>
    <w:p>
      <w:pPr>
        <w:pStyle w:val="Heading3"/>
      </w:pPr>
      <w:r>
        <w:t>M.2.2 Evaluation Phases</w:t>
      </w:r>
    </w:p>
    <w:p>
      <w:r>
        <w:rPr>
          <w:highlight w:val="yellow"/>
        </w:rPr>
        <w:t>Proposals will be evaluated in the following phases per FAR 15.305 (FAR 15.305, 2024):</w:t>
      </w:r>
    </w:p>
    <w:p>
      <w:r>
        <w:rPr>
          <w:b/>
          <w:highlight w:val="yellow"/>
        </w:rPr>
        <w:t>Phase I: Compliance Review</w:t>
      </w:r>
    </w:p>
    <w:p>
      <w:pPr>
        <w:pStyle w:val="ListBullet"/>
      </w:pPr>
      <w:r>
        <w:rPr>
          <w:highlight w:val="yellow"/>
        </w:rPr>
        <w:t>Verification of proposal completeness per Section L requirements</w:t>
      </w:r>
    </w:p>
    <w:p>
      <w:pPr>
        <w:pStyle w:val="ListBullet"/>
      </w:pPr>
      <w:r>
        <w:rPr>
          <w:highlight w:val="yellow"/>
        </w:rPr>
        <w:t>Verification of SAM.gov registration status</w:t>
      </w:r>
    </w:p>
    <w:p>
      <w:pPr>
        <w:pStyle w:val="ListBullet"/>
      </w:pPr>
      <w:r>
        <w:rPr>
          <w:highlight w:val="yellow"/>
        </w:rPr>
        <w:t>Review for compliance with October 15, 2025 submission deadline (Project Information, 2025)</w:t>
      </w:r>
    </w:p>
    <w:p>
      <w:pPr>
        <w:pStyle w:val="ListBullet"/>
      </w:pPr>
      <w:r>
        <w:rPr>
          <w:highlight w:val="yellow"/>
        </w:rPr>
        <w:t>Non-compliant proposals may be rejected without further evaluation per FAR 15.306(a) (FAR 15.306, 2024)</w:t>
      </w:r>
    </w:p>
    <w:p>
      <w:r>
        <w:rPr>
          <w:b/>
          <w:highlight w:val="yellow"/>
        </w:rPr>
        <w:t>Phase II: Factor Evaluation</w:t>
      </w:r>
    </w:p>
    <w:p>
      <w:pPr>
        <w:pStyle w:val="ListBullet"/>
      </w:pPr>
      <w:r>
        <w:rPr>
          <w:highlight w:val="yellow"/>
        </w:rPr>
        <w:t>Evaluation of Technical Factor for ALMS requirements (Project Information, 2025)</w:t>
      </w:r>
    </w:p>
    <w:p>
      <w:pPr>
        <w:pStyle w:val="ListBullet"/>
      </w:pPr>
      <w:r>
        <w:rPr>
          <w:highlight w:val="yellow"/>
        </w:rPr>
        <w:t>Evaluation of Management Factor for 36-month performance period (Project Information, 2025)</w:t>
      </w:r>
    </w:p>
    <w:p>
      <w:pPr>
        <w:pStyle w:val="ListBullet"/>
      </w:pPr>
      <w:r>
        <w:rPr>
          <w:highlight w:val="yellow"/>
        </w:rPr>
        <w:t>Evaluation of Past Performance Factor per FAR 15.305(a)(2) (FAR 15.305, 2024)</w:t>
      </w:r>
    </w:p>
    <w:p>
      <w:pPr>
        <w:pStyle w:val="ListBullet"/>
      </w:pPr>
      <w:r>
        <w:rPr>
          <w:highlight w:val="yellow"/>
        </w:rPr>
        <w:t>Evaluation of Cost/Price Factor for $2,500,000 estimated value (Project Information, 2025)</w:t>
      </w:r>
    </w:p>
    <w:p>
      <w:r>
        <w:rPr>
          <w:b/>
          <w:highlight w:val="yellow"/>
        </w:rPr>
        <w:t>Phase III: Competitive Range Determination</w:t>
      </w:r>
      <w:r>
        <w:rPr>
          <w:highlight w:val="yellow"/>
        </w:rPr>
        <w:t xml:space="preserve"> (if applicable)</w:t>
      </w:r>
    </w:p>
    <w:p>
      <w:pPr>
        <w:pStyle w:val="ListBullet"/>
      </w:pPr>
      <w:r>
        <w:rPr>
          <w:highlight w:val="yellow"/>
        </w:rPr>
        <w:t>Determination of competitive range based on Phase II evaluations per FAR 15.306(c) (FAR 15.306, 2024)</w:t>
      </w:r>
    </w:p>
    <w:p>
      <w:pPr>
        <w:pStyle w:val="ListBullet"/>
      </w:pPr>
      <w:r>
        <w:rPr>
          <w:highlight w:val="yellow"/>
        </w:rPr>
        <w:t>Offerors not in competitive range will be notified within 5 business days</w:t>
      </w:r>
    </w:p>
    <w:p>
      <w:r>
        <w:rPr>
          <w:b/>
          <w:highlight w:val="yellow"/>
        </w:rPr>
        <w:t>Phase IV: Discussions</w:t>
      </w:r>
      <w:r>
        <w:rPr>
          <w:highlight w:val="yellow"/>
        </w:rPr>
        <w:t xml:space="preserve"> (if conducted)</w:t>
      </w:r>
    </w:p>
    <w:p>
      <w:pPr>
        <w:pStyle w:val="ListBullet"/>
      </w:pPr>
      <w:r>
        <w:rPr>
          <w:highlight w:val="yellow"/>
        </w:rPr>
        <w:t>Clarifications or discussions with competitive range offerors per FAR 15.306(d) (FAR 15.306, 2024)</w:t>
      </w:r>
    </w:p>
    <w:p>
      <w:pPr>
        <w:pStyle w:val="ListBullet"/>
      </w:pPr>
      <w:r>
        <w:rPr>
          <w:highlight w:val="yellow"/>
        </w:rPr>
        <w:t>Request for Final Proposal Revisions within 10 business days (if applicable)</w:t>
      </w:r>
    </w:p>
    <w:p>
      <w:r>
        <w:rPr>
          <w:b/>
          <w:highlight w:val="yellow"/>
        </w:rPr>
        <w:t>Phase V: Source Selection Decision</w:t>
      </w:r>
    </w:p>
    <w:p>
      <w:pPr>
        <w:pStyle w:val="ListBullet"/>
      </w:pPr>
      <w:r>
        <w:rPr>
          <w:highlight w:val="yellow"/>
        </w:rPr>
        <w:t>Final evaluation of proposals</w:t>
      </w:r>
    </w:p>
    <w:p>
      <w:pPr>
        <w:pStyle w:val="ListBullet"/>
      </w:pPr>
      <w:r>
        <w:rPr>
          <w:highlight w:val="yellow"/>
        </w:rPr>
        <w:t>Trade-off analysis per FAR 15.308 (FAR 15.308, 2024)</w:t>
      </w:r>
    </w:p>
    <w:p>
      <w:pPr>
        <w:pStyle w:val="ListBullet"/>
      </w:pPr>
      <w:r>
        <w:rPr>
          <w:highlight w:val="yellow"/>
        </w:rPr>
        <w:t>Award recommendation to SSA within 15 business days</w:t>
      </w:r>
    </w:p>
    <w:p>
      <w:pPr>
        <w:pStyle w:val="ListBullet"/>
      </w:pPr>
      <w:r>
        <w:rPr>
          <w:highlight w:val="yellow"/>
        </w:rPr>
        <w:t>Award decision</w:t>
      </w:r>
    </w:p>
    <w:p>
      <w:pPr>
        <w:spacing w:before="120" w:after="120"/>
      </w:pPr>
    </w:p>
    <w:p>
      <w:pPr>
        <w:pStyle w:val="Heading2"/>
      </w:pPr>
      <w:r>
        <w:t>M.3 EVALUATION FACTORS</w:t>
      </w:r>
    </w:p>
    <w:p>
      <w:pPr>
        <w:pStyle w:val="Heading3"/>
      </w:pPr>
      <w:r>
        <w:t>M.3.1 Evaluation Factor Summary</w:t>
      </w:r>
    </w:p>
    <w:p>
      <w:r>
        <w:rPr>
          <w:highlight w:val="yellow"/>
        </w:rPr>
        <w:t>Proposals will be evaluated based on the following factors for the Advanced Logistics Management System (Project Information, 2025):</w:t>
      </w:r>
    </w:p>
    <w:p>
      <w:pPr>
        <w:pStyle w:val="ListNumber"/>
      </w:pPr>
      <w:r>
        <w:rPr>
          <w:b/>
          <w:highlight w:val="yellow"/>
        </w:rPr>
        <w:t>Technical Approach</w:t>
      </w:r>
      <w:r>
        <w:rPr>
          <w:highlight w:val="yellow"/>
        </w:rPr>
        <w:t xml:space="preserve"> - 40%</w:t>
      </w:r>
    </w:p>
    <w:p>
      <w:pPr>
        <w:pStyle w:val="ListNumber"/>
      </w:pPr>
      <w:r>
        <w:rPr>
          <w:b/>
          <w:highlight w:val="yellow"/>
        </w:rPr>
        <w:t>Management Approach</w:t>
      </w:r>
      <w:r>
        <w:rPr>
          <w:highlight w:val="yellow"/>
        </w:rPr>
        <w:t xml:space="preserve"> - 30%</w:t>
      </w:r>
    </w:p>
    <w:p>
      <w:pPr>
        <w:pStyle w:val="ListNumber"/>
      </w:pPr>
      <w:r>
        <w:rPr>
          <w:b/>
          <w:highlight w:val="yellow"/>
        </w:rPr>
        <w:t>Past Performance</w:t>
      </w:r>
      <w:r>
        <w:rPr>
          <w:highlight w:val="yellow"/>
        </w:rPr>
        <w:t xml:space="preserve"> - 20%</w:t>
      </w:r>
    </w:p>
    <w:p>
      <w:pPr>
        <w:pStyle w:val="ListNumber"/>
      </w:pPr>
      <w:r>
        <w:rPr>
          <w:b/>
          <w:highlight w:val="yellow"/>
        </w:rPr>
        <w:t>Cost/Price</w:t>
      </w:r>
      <w:r>
        <w:rPr>
          <w:highlight w:val="yellow"/>
        </w:rPr>
        <w:t xml:space="preserve"> - 10%</w:t>
      </w:r>
    </w:p>
    <w:p>
      <w:pPr>
        <w:pStyle w:val="Heading3"/>
      </w:pPr>
      <w:r>
        <w:t>M.3.2 Relative Importance of Evaluation Factors</w:t>
      </w:r>
    </w:p>
    <w:p>
      <w:r>
        <w:rPr>
          <w:b/>
          <w:highlight w:val="yellow"/>
        </w:rPr>
        <w:t>Non-Cost Factors (Technical + Management + Past Performance)</w:t>
      </w:r>
      <w:r>
        <w:rPr>
          <w:highlight w:val="yellow"/>
        </w:rPr>
        <w:t xml:space="preserve"> are </w:t>
      </w:r>
      <w:r>
        <w:rPr>
          <w:b/>
          <w:highlight w:val="yellow"/>
        </w:rPr>
        <w:t>significantly more important</w:t>
      </w:r>
      <w:r>
        <w:rPr>
          <w:highlight w:val="yellow"/>
        </w:rPr>
        <w:t xml:space="preserve"> than </w:t>
      </w:r>
      <w:r>
        <w:rPr>
          <w:b/>
          <w:highlight w:val="yellow"/>
        </w:rPr>
        <w:t>Cost/Price</w:t>
      </w:r>
      <w:r>
        <w:rPr>
          <w:highlight w:val="yellow"/>
        </w:rPr>
        <w:t xml:space="preserve"> when making the source selection decision for this $2,500,000 acquisition (Project Information, 2025).</w:t>
      </w:r>
    </w:p>
    <w:p>
      <w:r>
        <w:rPr>
          <w:b/>
          <w:highlight w:val="yellow"/>
        </w:rPr>
        <w:t>Within Non-Cost Factors:</w:t>
      </w:r>
    </w:p>
    <w:p>
      <w:pPr>
        <w:pStyle w:val="ListBullet"/>
      </w:pPr>
      <w:r>
        <w:rPr>
          <w:b/>
          <w:highlight w:val="yellow"/>
        </w:rPr>
        <w:t>Technical Factor</w:t>
      </w:r>
      <w:r>
        <w:rPr>
          <w:highlight w:val="yellow"/>
        </w:rPr>
        <w:t xml:space="preserve"> is </w:t>
      </w:r>
      <w:r>
        <w:rPr>
          <w:b/>
          <w:highlight w:val="yellow"/>
        </w:rPr>
        <w:t>more important</w:t>
      </w:r>
      <w:r>
        <w:rPr>
          <w:highlight w:val="yellow"/>
        </w:rPr>
        <w:t xml:space="preserve"> than </w:t>
      </w:r>
      <w:r>
        <w:rPr>
          <w:b/>
          <w:highlight w:val="yellow"/>
        </w:rPr>
        <w:t>Management Factor</w:t>
      </w:r>
    </w:p>
    <w:p>
      <w:pPr>
        <w:pStyle w:val="ListBullet"/>
      </w:pPr>
      <w:r>
        <w:rPr>
          <w:b/>
          <w:highlight w:val="yellow"/>
        </w:rPr>
        <w:t>Technical Factor</w:t>
      </w:r>
      <w:r>
        <w:rPr>
          <w:highlight w:val="yellow"/>
        </w:rPr>
        <w:t xml:space="preserve"> is </w:t>
      </w:r>
      <w:r>
        <w:rPr>
          <w:b/>
          <w:highlight w:val="yellow"/>
        </w:rPr>
        <w:t>significantly more important</w:t>
      </w:r>
      <w:r>
        <w:rPr>
          <w:highlight w:val="yellow"/>
        </w:rPr>
        <w:t xml:space="preserve"> than </w:t>
      </w:r>
      <w:r>
        <w:rPr>
          <w:b/>
          <w:highlight w:val="yellow"/>
        </w:rPr>
        <w:t>Past Performance Factor</w:t>
      </w:r>
    </w:p>
    <w:p>
      <w:pPr>
        <w:pStyle w:val="ListBullet"/>
      </w:pPr>
      <w:r>
        <w:rPr>
          <w:b/>
          <w:highlight w:val="yellow"/>
        </w:rPr>
        <w:t>Management Factor</w:t>
      </w:r>
      <w:r>
        <w:rPr>
          <w:highlight w:val="yellow"/>
        </w:rPr>
        <w:t xml:space="preserve"> is </w:t>
      </w:r>
      <w:r>
        <w:rPr>
          <w:b/>
          <w:highlight w:val="yellow"/>
        </w:rPr>
        <w:t>more important</w:t>
      </w:r>
      <w:r>
        <w:rPr>
          <w:highlight w:val="yellow"/>
        </w:rPr>
        <w:t xml:space="preserve"> than </w:t>
      </w:r>
      <w:r>
        <w:rPr>
          <w:b/>
          <w:highlight w:val="yellow"/>
        </w:rPr>
        <w:t>Past Performance Factor</w:t>
      </w:r>
    </w:p>
    <w:p>
      <w:pPr>
        <w:spacing w:before="120" w:after="120"/>
      </w:pPr>
    </w:p>
    <w:p>
      <w:pPr>
        <w:pStyle w:val="Heading2"/>
      </w:pPr>
      <w:r>
        <w:t>M.4 FACTOR 1: TECHNICAL APPROACH</w:t>
      </w:r>
    </w:p>
    <w:p>
      <w:r>
        <w:rPr>
          <w:b/>
          <w:highlight w:val="yellow"/>
        </w:rPr>
        <w:t>Weight:</w:t>
      </w:r>
      <w:r>
        <w:rPr>
          <w:highlight w:val="yellow"/>
        </w:rPr>
        <w:t xml:space="preserve"> 40%</w:t>
      </w:r>
    </w:p>
    <w:p>
      <w:pPr>
        <w:pStyle w:val="Heading3"/>
      </w:pPr>
      <w:r>
        <w:t>M.4.1 Description</w:t>
      </w:r>
    </w:p>
    <w:p>
      <w:r>
        <w:rPr>
          <w:highlight w:val="yellow"/>
        </w:rPr>
        <w:t>The Technical Factor evaluates the offeror's understanding of the requirements and the proposed technical solution's ability to meet the Performance Work Statement (PWS) objectives for the Advanced Logistics Management System serving 2,800 users across 15 Army installations (Project Information, 2025).</w:t>
      </w:r>
    </w:p>
    <w:p>
      <w:pPr>
        <w:pStyle w:val="Heading3"/>
      </w:pPr>
      <w:r>
        <w:t>M.4.2 Technical Subfactors</w:t>
      </w:r>
    </w:p>
    <w:p>
      <w:r>
        <w:rPr>
          <w:highlight w:val="yellow"/>
        </w:rPr>
        <w:t>The Technical Factor consists of the following subfactors:</w:t>
      </w:r>
    </w:p>
    <w:p>
      <w:pPr>
        <w:pStyle w:val="ListNumber"/>
      </w:pPr>
      <w:r>
        <w:rPr>
          <w:b/>
          <w:highlight w:val="yellow"/>
        </w:rPr>
        <w:t>Understanding of Requirements</w:t>
      </w:r>
      <w:r>
        <w:rPr>
          <w:highlight w:val="yellow"/>
        </w:rPr>
        <w:t xml:space="preserve"> - 30% of Technical Factor</w:t>
      </w:r>
    </w:p>
    <w:p>
      <w:pPr>
        <w:pStyle w:val="ListNumber"/>
      </w:pPr>
      <w:r>
        <w:rPr>
          <w:b/>
          <w:highlight w:val="yellow"/>
        </w:rPr>
        <w:t>Technical Solution</w:t>
      </w:r>
      <w:r>
        <w:rPr>
          <w:highlight w:val="yellow"/>
        </w:rPr>
        <w:t xml:space="preserve"> - 50% of Technical Factor</w:t>
      </w:r>
    </w:p>
    <w:p>
      <w:pPr>
        <w:pStyle w:val="ListNumber"/>
      </w:pPr>
      <w:r>
        <w:rPr>
          <w:b/>
          <w:highlight w:val="yellow"/>
        </w:rPr>
        <w:t>Quality Assurance Approach</w:t>
      </w:r>
      <w:r>
        <w:rPr>
          <w:highlight w:val="yellow"/>
        </w:rPr>
        <w:t xml:space="preserve"> - 20% of Technical Factor</w:t>
      </w:r>
    </w:p>
    <w:p>
      <w:pPr>
        <w:pStyle w:val="Heading3"/>
      </w:pPr>
      <w:r>
        <w:t>M.4.3 Technical Subfactor Descriptions</w:t>
      </w:r>
    </w:p>
    <w:p>
      <w:r>
        <w:rPr>
          <w:b/>
          <w:highlight w:val="yellow"/>
        </w:rPr>
        <w:t>M.4.3.1 Subfactor 1: Understanding of Requirements</w:t>
      </w:r>
    </w:p>
    <w:p>
      <w:r>
        <w:rPr>
          <w:b/>
          <w:highlight w:val="yellow"/>
        </w:rPr>
        <w:t>Weight:</w:t>
      </w:r>
      <w:r>
        <w:rPr>
          <w:highlight w:val="yellow"/>
        </w:rPr>
        <w:t xml:space="preserve"> 30% of Technical Factor</w:t>
      </w:r>
    </w:p>
    <w:p>
      <w:r>
        <w:rPr>
          <w:highlight w:val="yellow"/>
        </w:rPr>
        <w:t>The Government will evaluate the offeror's demonstrated understanding of:</w:t>
      </w:r>
    </w:p>
    <w:p>
      <w:pPr>
        <w:pStyle w:val="ListBullet"/>
      </w:pPr>
      <w:r>
        <w:rPr>
          <w:highlight w:val="yellow"/>
        </w:rPr>
        <w:t>PWS requirements for 2,800 users across 15 Army installations (Project Information, 2025)</w:t>
      </w:r>
    </w:p>
    <w:p>
      <w:pPr>
        <w:pStyle w:val="ListBullet"/>
      </w:pPr>
      <w:r>
        <w:rPr>
          <w:highlight w:val="yellow"/>
        </w:rPr>
        <w:t>Technical challenges for 36-month implementation timeline (Project Information, 2025)</w:t>
      </w:r>
    </w:p>
    <w:p>
      <w:pPr>
        <w:pStyle w:val="ListBullet"/>
      </w:pPr>
      <w:r>
        <w:rPr>
          <w:highlight w:val="yellow"/>
        </w:rPr>
        <w:t>Government's mission and operational environment at Fort Lee, VA and CONUS installations (Project Information, 2025)</w:t>
      </w:r>
    </w:p>
    <w:p>
      <w:pPr>
        <w:pStyle w:val="ListBullet"/>
      </w:pPr>
      <w:r>
        <w:rPr>
          <w:highlight w:val="yellow"/>
        </w:rPr>
        <w:t>Critical success factors for June 2026 IOC and December 2026 FOC dates (Project Information, 2025)</w:t>
      </w:r>
    </w:p>
    <w:p>
      <w:r>
        <w:rPr>
          <w:b/>
          <w:highlight w:val="yellow"/>
        </w:rPr>
        <w:t>Evaluation Considerations:</w:t>
      </w:r>
    </w:p>
    <w:p>
      <w:pPr>
        <w:pStyle w:val="ListBullet"/>
      </w:pPr>
      <w:r>
        <w:rPr>
          <w:highlight w:val="yellow"/>
        </w:rPr>
        <w:t>Depth and accuracy of requirements understanding for ALMS implementation</w:t>
      </w:r>
    </w:p>
    <w:p>
      <w:pPr>
        <w:pStyle w:val="ListBullet"/>
      </w:pPr>
      <w:r>
        <w:rPr>
          <w:highlight w:val="yellow"/>
        </w:rPr>
        <w:t>Identification of technical challenges and constraints for multi-installation deployment</w:t>
      </w:r>
    </w:p>
    <w:p>
      <w:pPr>
        <w:pStyle w:val="ListBullet"/>
      </w:pPr>
      <w:r>
        <w:rPr>
          <w:highlight w:val="yellow"/>
        </w:rPr>
        <w:t>Understanding of interdependencies and integration points across 15 installations (Project Information, 2025)</w:t>
      </w:r>
    </w:p>
    <w:p>
      <w:pPr>
        <w:pStyle w:val="ListBullet"/>
      </w:pPr>
      <w:r>
        <w:rPr>
          <w:highlight w:val="yellow"/>
        </w:rPr>
        <w:t>Demonstration of domain knowledge for Army logistics management systems</w:t>
      </w:r>
    </w:p>
    <w:p>
      <w:r>
        <w:rPr>
          <w:b/>
          <w:highlight w:val="yellow"/>
        </w:rPr>
        <w:t>M.4.3.2 Subfactor 2: Technical Solution</w:t>
      </w:r>
    </w:p>
    <w:p>
      <w:r>
        <w:rPr>
          <w:b/>
          <w:highlight w:val="yellow"/>
        </w:rPr>
        <w:t>Weight:</w:t>
      </w:r>
      <w:r>
        <w:rPr>
          <w:highlight w:val="yellow"/>
        </w:rPr>
        <w:t xml:space="preserve"> 50% of Technical Factor</w:t>
      </w:r>
    </w:p>
    <w:p>
      <w:r>
        <w:rPr>
          <w:highlight w:val="yellow"/>
        </w:rPr>
        <w:t>The Government will evaluate the proposed technical solution's ability to meet or exceed PWS requirements for the Advanced Logistics Management System (Project Information, 2025).</w:t>
      </w:r>
    </w:p>
    <w:p>
      <w:r>
        <w:rPr>
          <w:b/>
          <w:highlight w:val="yellow"/>
        </w:rPr>
        <w:t>Evaluation Considerations:</w:t>
      </w:r>
    </w:p>
    <w:p>
      <w:pPr>
        <w:pStyle w:val="ListBullet"/>
      </w:pPr>
      <w:r>
        <w:rPr>
          <w:highlight w:val="yellow"/>
        </w:rPr>
        <w:t>Technical approach soundness and feasibility for 2,800 user deployment (Project Information, 2025)</w:t>
      </w:r>
    </w:p>
    <w:p>
      <w:pPr>
        <w:pStyle w:val="ListBullet"/>
      </w:pPr>
      <w:r>
        <w:rPr>
          <w:highlight w:val="yellow"/>
        </w:rPr>
        <w:t>Compliance with PWS performance standards for logistics management</w:t>
      </w:r>
    </w:p>
    <w:p>
      <w:pPr>
        <w:pStyle w:val="ListBullet"/>
      </w:pPr>
      <w:r>
        <w:rPr>
          <w:highlight w:val="yellow"/>
        </w:rPr>
        <w:t>Innovation and use of best practices/industry standards per NAICS 541512 (Project Information, 2025)</w:t>
      </w:r>
    </w:p>
    <w:p>
      <w:pPr>
        <w:pStyle w:val="ListBullet"/>
      </w:pPr>
      <w:r>
        <w:rPr>
          <w:highlight w:val="yellow"/>
        </w:rPr>
        <w:t>Technical risk identification and mitigation for 36-month performance period (Project Information, 2025)</w:t>
      </w:r>
    </w:p>
    <w:p>
      <w:pPr>
        <w:pStyle w:val="ListBullet"/>
      </w:pPr>
      <w:r>
        <w:rPr>
          <w:highlight w:val="yellow"/>
        </w:rPr>
        <w:t>Scalability and flexibility of solution for 15 Army installations (Project Information, 2025)</w:t>
      </w:r>
    </w:p>
    <w:p>
      <w:pPr>
        <w:pStyle w:val="ListBullet"/>
      </w:pPr>
      <w:r>
        <w:rPr>
          <w:highlight w:val="yellow"/>
        </w:rPr>
        <w:t>Security approach and compliance with DoD requirements</w:t>
      </w:r>
    </w:p>
    <w:p>
      <w:pPr>
        <w:pStyle w:val="ListBullet"/>
      </w:pPr>
      <w:r>
        <w:rPr>
          <w:highlight w:val="yellow"/>
        </w:rPr>
        <w:t>Technology choices and justification for CONUS deployment (Project Information, 2025)</w:t>
      </w:r>
    </w:p>
    <w:p>
      <w:r>
        <w:rPr>
          <w:b/>
          <w:highlight w:val="yellow"/>
        </w:rPr>
        <w:t>Specific Technical Areas to be Evaluated:</w:t>
      </w:r>
    </w:p>
    <w:p>
      <w:pPr>
        <w:pStyle w:val="ListBullet"/>
      </w:pPr>
      <w:r>
        <w:rPr>
          <w:highlight w:val="yellow"/>
        </w:rPr>
        <w:t>Logistics management system architecture for 2,800 users (Project Information, 2025)</w:t>
      </w:r>
    </w:p>
    <w:p>
      <w:pPr>
        <w:pStyle w:val="ListBullet"/>
      </w:pPr>
      <w:r>
        <w:rPr>
          <w:highlight w:val="yellow"/>
        </w:rPr>
        <w:t>Multi-installation deployment capability across 15 locations (Project Information, 2025)</w:t>
      </w:r>
    </w:p>
    <w:p>
      <w:pPr>
        <w:pStyle w:val="ListBullet"/>
      </w:pPr>
      <w:r>
        <w:rPr>
          <w:highlight w:val="yellow"/>
        </w:rPr>
        <w:t>System integration with existing Army infrastructure</w:t>
      </w:r>
    </w:p>
    <w:p>
      <w:pPr>
        <w:pStyle w:val="ListBullet"/>
      </w:pPr>
      <w:r>
        <w:rPr>
          <w:highlight w:val="yellow"/>
        </w:rPr>
        <w:t>Performance requirements for IOC June 2026 and FOC December 2026 (Project Information, 2025)</w:t>
      </w:r>
    </w:p>
    <w:p>
      <w:r>
        <w:rPr>
          <w:b/>
          <w:highlight w:val="yellow"/>
        </w:rPr>
        <w:t>M.4.3.3 Subfactor 3: Quality Assurance Approach</w:t>
      </w:r>
    </w:p>
    <w:p>
      <w:r>
        <w:rPr>
          <w:b/>
          <w:highlight w:val="yellow"/>
        </w:rPr>
        <w:t>Weight:</w:t>
      </w:r>
      <w:r>
        <w:rPr>
          <w:highlight w:val="yellow"/>
        </w:rPr>
        <w:t xml:space="preserve"> 20% of Technical Factor</w:t>
      </w:r>
    </w:p>
    <w:p>
      <w:r>
        <w:rPr>
          <w:highlight w:val="yellow"/>
        </w:rPr>
        <w:t>The Government will evaluate the offeror's proposed quality assurance and quality control approach for the 36-month performance period (Project Information, 2025).</w:t>
      </w:r>
    </w:p>
    <w:p>
      <w:r>
        <w:rPr>
          <w:b/>
          <w:highlight w:val="yellow"/>
        </w:rPr>
        <w:t>Evaluation Considerations:</w:t>
      </w:r>
    </w:p>
    <w:p>
      <w:pPr>
        <w:pStyle w:val="ListBullet"/>
      </w:pPr>
      <w:r>
        <w:rPr>
          <w:highlight w:val="yellow"/>
        </w:rPr>
        <w:t>Quality control processes and procedures for ALMS implementation</w:t>
      </w:r>
    </w:p>
    <w:p>
      <w:pPr>
        <w:pStyle w:val="ListBullet"/>
      </w:pPr>
      <w:r>
        <w:rPr>
          <w:highlight w:val="yellow"/>
        </w:rPr>
        <w:t>Testing and validation methodology for 2,800 users across 15 installations (Project Information, 2025)</w:t>
      </w:r>
    </w:p>
    <w:p>
      <w:pPr>
        <w:pStyle w:val="ListBullet"/>
      </w:pPr>
      <w:r>
        <w:rPr>
          <w:highlight w:val="yellow"/>
        </w:rPr>
        <w:t>Defect identification and resolution process within performance timeline</w:t>
      </w:r>
    </w:p>
    <w:p>
      <w:pPr>
        <w:pStyle w:val="ListBullet"/>
      </w:pPr>
      <w:r>
        <w:rPr>
          <w:highlight w:val="yellow"/>
        </w:rPr>
        <w:t>Continuous improvement approach throughout 36-month period (Project Information, 2025)</w:t>
      </w:r>
    </w:p>
    <w:p>
      <w:pPr>
        <w:pStyle w:val="ListBullet"/>
      </w:pPr>
      <w:r>
        <w:rPr>
          <w:highlight w:val="yellow"/>
        </w:rPr>
        <w:t>Compliance with quality standards per ACAT III requirements (Project Information, 2025)</w:t>
      </w:r>
    </w:p>
    <w:p>
      <w:pPr>
        <w:pStyle w:val="ListBullet"/>
      </w:pPr>
      <w:r>
        <w:rPr>
          <w:highlight w:val="yellow"/>
        </w:rPr>
        <w:t>Metrics and measurement approach for performance monitoring</w:t>
      </w:r>
    </w:p>
    <w:p>
      <w:pPr>
        <w:pStyle w:val="Heading3"/>
      </w:pPr>
      <w:r>
        <w:t>M.4.4 Technical Rating Scale</w:t>
      </w:r>
    </w:p>
    <w:p>
      <w:r>
        <w:rPr>
          <w:highlight w:val="yellow"/>
        </w:rPr>
        <w:t>Technical proposals will be rated using the following adjectival ratings per FAR 15.305(a) (FAR 15.305, 2024):</w:t>
      </w:r>
    </w:p>
    <w:tbl>
      <w:tblPr>
        <w:tblStyle w:val="LightGrid-Accent1"/>
        <w:tblW w:type="auto" w:w="0"/>
        <w:tblLook w:firstColumn="1" w:firstRow="1" w:lastColumn="0" w:lastRow="0" w:noHBand="0" w:noVBand="1" w:val="04A0"/>
      </w:tblPr>
      <w:tblGrid>
        <w:gridCol w:w="2880"/>
        <w:gridCol w:w="2880"/>
        <w:gridCol w:w="2880"/>
      </w:tblGrid>
      <w:tr>
        <w:tc>
          <w:tcPr>
            <w:tcW w:type="dxa" w:w="2880"/>
            <w:shd w:fill="E8E8E8"/>
          </w:tcPr>
          <w:p>
            <w:r>
              <w:rPr>
                <w:b/>
                <w:sz w:val="22"/>
                <w:highlight w:val="yellow"/>
              </w:rPr>
              <w:t>Rating</w:t>
            </w:r>
          </w:p>
        </w:tc>
        <w:tc>
          <w:tcPr>
            <w:tcW w:type="dxa" w:w="2880"/>
            <w:shd w:fill="E8E8E8"/>
          </w:tcPr>
          <w:p>
            <w:r>
              <w:rPr>
                <w:b/>
                <w:sz w:val="22"/>
                <w:highlight w:val="yellow"/>
              </w:rPr>
              <w:t>Definition</w:t>
            </w:r>
          </w:p>
        </w:tc>
        <w:tc>
          <w:tcPr>
            <w:tcW w:type="dxa" w:w="2880"/>
            <w:shd w:fill="E8E8E8"/>
          </w:tcPr>
          <w:p>
            <w:r>
              <w:rPr>
                <w:b/>
                <w:sz w:val="22"/>
                <w:highlight w:val="yellow"/>
              </w:rPr>
              <w:t>Criteria</w:t>
            </w:r>
          </w:p>
        </w:tc>
      </w:tr>
      <w:tr>
        <w:tc>
          <w:tcPr>
            <w:tcW w:type="dxa" w:w="2880"/>
          </w:tcPr>
          <w:p>
            <w:r>
              <w:rPr>
                <w:highlight w:val="yellow"/>
              </w:rPr>
              <w:t>Outstanding</w:t>
            </w:r>
          </w:p>
        </w:tc>
        <w:tc>
          <w:tcPr>
            <w:tcW w:type="dxa" w:w="2880"/>
          </w:tcPr>
          <w:p>
            <w:r>
              <w:rPr>
                <w:highlight w:val="yellow"/>
              </w:rPr>
              <w:t>Proposal meets requirements and exceeds in ways that provide exceptional benefit</w:t>
            </w:r>
          </w:p>
        </w:tc>
        <w:tc>
          <w:tcPr>
            <w:tcW w:type="dxa" w:w="2880"/>
          </w:tcPr>
          <w:p>
            <w:r>
              <w:rPr>
                <w:highlight w:val="yellow"/>
              </w:rPr>
              <w:t>- Exceeds all PWS requirements for ALMS&lt;br&gt;- Exceptional approach with significant benefits for 2,800 users (Project Information, 2025)&lt;br&gt;- No weaknesses or deficiencies&lt;br&gt;- Minimal risk for 36-month performance (Project Information, 2025)</w:t>
            </w:r>
          </w:p>
        </w:tc>
      </w:tr>
      <w:tr>
        <w:tc>
          <w:tcPr>
            <w:tcW w:type="dxa" w:w="2880"/>
          </w:tcPr>
          <w:p>
            <w:r>
              <w:rPr>
                <w:highlight w:val="yellow"/>
              </w:rPr>
              <w:t>Good</w:t>
            </w:r>
          </w:p>
        </w:tc>
        <w:tc>
          <w:tcPr>
            <w:tcW w:type="dxa" w:w="2880"/>
          </w:tcPr>
          <w:p>
            <w:r>
              <w:rPr>
                <w:highlight w:val="yellow"/>
              </w:rPr>
              <w:t>Proposal meets requirements and exceeds in ways that provide benefit</w:t>
            </w:r>
          </w:p>
        </w:tc>
        <w:tc>
          <w:tcPr>
            <w:tcW w:type="dxa" w:w="2880"/>
          </w:tcPr>
          <w:p>
            <w:r>
              <w:rPr>
                <w:highlight w:val="yellow"/>
              </w:rPr>
              <w:t>- Exceeds PWS requirements&lt;br&gt;- Sound approach with benefits for multi-installation deployment&lt;br&gt;- Minor weaknesses easily correctable&lt;br&gt;- Low risk for IOC/FOC achievement (Project Information, 2025)</w:t>
            </w:r>
          </w:p>
        </w:tc>
      </w:tr>
      <w:tr>
        <w:tc>
          <w:tcPr>
            <w:tcW w:type="dxa" w:w="2880"/>
          </w:tcPr>
          <w:p>
            <w:r>
              <w:rPr>
                <w:highlight w:val="yellow"/>
              </w:rPr>
              <w:t>Acceptable</w:t>
            </w:r>
          </w:p>
        </w:tc>
        <w:tc>
          <w:tcPr>
            <w:tcW w:type="dxa" w:w="2880"/>
          </w:tcPr>
          <w:p>
            <w:r>
              <w:rPr>
                <w:highlight w:val="yellow"/>
              </w:rPr>
              <w:t>Proposal meets requirements</w:t>
            </w:r>
          </w:p>
        </w:tc>
        <w:tc>
          <w:tcPr>
            <w:tcW w:type="dxa" w:w="2880"/>
          </w:tcPr>
          <w:p>
            <w:r>
              <w:rPr>
                <w:highlight w:val="yellow"/>
              </w:rPr>
              <w:t>- Meets all PWS requirements for ALMS&lt;br&gt;- Adequate approach for 15 installations (Project Information, 2025)&lt;br&gt;- Weaknesses are correctable&lt;br&gt;- Moderate risk for 36-month timeline (Project Information, 2025)</w:t>
            </w:r>
          </w:p>
        </w:tc>
      </w:tr>
      <w:tr>
        <w:tc>
          <w:tcPr>
            <w:tcW w:type="dxa" w:w="2880"/>
          </w:tcPr>
          <w:p>
            <w:r>
              <w:rPr>
                <w:highlight w:val="yellow"/>
              </w:rPr>
              <w:t>Marginal</w:t>
            </w:r>
          </w:p>
        </w:tc>
        <w:tc>
          <w:tcPr>
            <w:tcW w:type="dxa" w:w="2880"/>
          </w:tcPr>
          <w:p>
            <w:r>
              <w:rPr>
                <w:highlight w:val="yellow"/>
              </w:rPr>
              <w:t>Proposal does not clearly meet requirements</w:t>
            </w:r>
          </w:p>
        </w:tc>
        <w:tc>
          <w:tcPr>
            <w:tcW w:type="dxa" w:w="2880"/>
          </w:tcPr>
          <w:p>
            <w:r>
              <w:rPr>
                <w:highlight w:val="yellow"/>
              </w:rPr>
              <w:t>- Does not clearly meet all PWS requirements&lt;br&gt;- Questionable approach for 2,800 users (Project Information, 2025)&lt;br&gt;- Significant weaknesses&lt;br&gt;- High risk for IOC/FOC dates (Project Information, 2025)</w:t>
            </w:r>
          </w:p>
        </w:tc>
      </w:tr>
      <w:tr>
        <w:tc>
          <w:tcPr>
            <w:tcW w:type="dxa" w:w="2880"/>
          </w:tcPr>
          <w:p>
            <w:r>
              <w:rPr>
                <w:highlight w:val="yellow"/>
              </w:rPr>
              <w:t>Unacceptable</w:t>
            </w:r>
          </w:p>
        </w:tc>
        <w:tc>
          <w:tcPr>
            <w:tcW w:type="dxa" w:w="2880"/>
          </w:tcPr>
          <w:p>
            <w:r>
              <w:rPr>
                <w:highlight w:val="yellow"/>
              </w:rPr>
              <w:t>Proposal does not meet requirements</w:t>
            </w:r>
          </w:p>
        </w:tc>
        <w:tc>
          <w:tcPr>
            <w:tcW w:type="dxa" w:w="2880"/>
          </w:tcPr>
          <w:p>
            <w:r>
              <w:rPr>
                <w:highlight w:val="yellow"/>
              </w:rPr>
              <w:t>- Fails to meet one or more PWS requirements&lt;br&gt;- Unacceptable approach for ALMS implementation&lt;br&gt;- Major deficiencies&lt;br&gt;- Unacceptable risk for performance</w:t>
            </w:r>
          </w:p>
        </w:tc>
      </w:tr>
    </w:tbl>
    <w:p/>
    <w:p>
      <w:r>
        <w:rPr>
          <w:b/>
          <w:highlight w:val="yellow"/>
        </w:rPr>
        <w:t>Award Threshold:</w:t>
      </w:r>
      <w:r>
        <w:rPr>
          <w:highlight w:val="yellow"/>
        </w:rPr>
        <w:t xml:space="preserve"> Proposals rated </w:t>
      </w:r>
      <w:r>
        <w:rPr>
          <w:b/>
          <w:highlight w:val="yellow"/>
        </w:rPr>
        <w:t>Unacceptable</w:t>
      </w:r>
      <w:r>
        <w:rPr>
          <w:highlight w:val="yellow"/>
        </w:rPr>
        <w:t xml:space="preserve"> will not be eligible for award per FAR 15.305(a) (FAR 15.305, 2024).</w:t>
      </w:r>
    </w:p>
    <w:p>
      <w:pPr>
        <w:spacing w:before="120" w:after="120"/>
      </w:pPr>
    </w:p>
    <w:p>
      <w:pPr>
        <w:pStyle w:val="Heading2"/>
      </w:pPr>
      <w:r>
        <w:t>M.5 FACTOR 2: MANAGEMENT APPROACH</w:t>
      </w:r>
    </w:p>
    <w:p>
      <w:r>
        <w:rPr>
          <w:b/>
          <w:highlight w:val="yellow"/>
        </w:rPr>
        <w:t>Weight:</w:t>
      </w:r>
      <w:r>
        <w:rPr>
          <w:highlight w:val="yellow"/>
        </w:rPr>
        <w:t xml:space="preserve"> 30%</w:t>
      </w:r>
    </w:p>
    <w:p>
      <w:pPr>
        <w:pStyle w:val="Heading3"/>
      </w:pPr>
      <w:r>
        <w:t>M.5.1 Description</w:t>
      </w:r>
    </w:p>
    <w:p>
      <w:r>
        <w:rPr>
          <w:highlight w:val="yellow"/>
        </w:rPr>
        <w:t>The Management Factor evaluates the offeror's ability to successfully manage and execute the contract for the 36-month performance period across 15 Army installations (Project Information, 2025).</w:t>
      </w:r>
    </w:p>
    <w:p>
      <w:pPr>
        <w:pStyle w:val="Heading3"/>
      </w:pPr>
      <w:r>
        <w:t>M.5.2 Management Subfactors</w:t>
      </w:r>
    </w:p>
    <w:p>
      <w:r>
        <w:rPr>
          <w:highlight w:val="yellow"/>
        </w:rPr>
        <w:t>The Management Factor consists of the following subfactors:</w:t>
      </w:r>
    </w:p>
    <w:p>
      <w:pPr>
        <w:pStyle w:val="ListNumber"/>
      </w:pPr>
      <w:r>
        <w:rPr>
          <w:b/>
          <w:highlight w:val="yellow"/>
        </w:rPr>
        <w:t>Project Management Plan</w:t>
      </w:r>
      <w:r>
        <w:rPr>
          <w:highlight w:val="yellow"/>
        </w:rPr>
        <w:t xml:space="preserve"> - 35% of Management Factor</w:t>
      </w:r>
    </w:p>
    <w:p>
      <w:pPr>
        <w:pStyle w:val="ListNumber"/>
      </w:pPr>
      <w:r>
        <w:rPr>
          <w:b/>
          <w:highlight w:val="yellow"/>
        </w:rPr>
        <w:t>Performance Management</w:t>
      </w:r>
      <w:r>
        <w:rPr>
          <w:highlight w:val="yellow"/>
        </w:rPr>
        <w:t xml:space="preserve"> - 25% of Management Factor</w:t>
      </w:r>
    </w:p>
    <w:p>
      <w:pPr>
        <w:pStyle w:val="ListNumber"/>
      </w:pPr>
      <w:r>
        <w:rPr>
          <w:b/>
          <w:highlight w:val="yellow"/>
        </w:rPr>
        <w:t>Communication Plan</w:t>
      </w:r>
      <w:r>
        <w:rPr>
          <w:highlight w:val="yellow"/>
        </w:rPr>
        <w:t xml:space="preserve"> - 20% of Management Factor</w:t>
      </w:r>
    </w:p>
    <w:p>
      <w:pPr>
        <w:pStyle w:val="ListNumber"/>
      </w:pPr>
      <w:r>
        <w:rPr>
          <w:b/>
          <w:highlight w:val="yellow"/>
        </w:rPr>
        <w:t>Key Personnel</w:t>
      </w:r>
      <w:r>
        <w:rPr>
          <w:highlight w:val="yellow"/>
        </w:rPr>
        <w:t xml:space="preserve"> - 20% of Management Factor</w:t>
      </w:r>
    </w:p>
    <w:p>
      <w:pPr>
        <w:pStyle w:val="Heading3"/>
      </w:pPr>
      <w:r>
        <w:t>M.5.3 Management Subfactor Descriptions</w:t>
      </w:r>
    </w:p>
    <w:p>
      <w:r>
        <w:rPr>
          <w:b/>
          <w:highlight w:val="yellow"/>
        </w:rPr>
        <w:t>M.5.3.1 Subfactor 1: Project Management Plan</w:t>
      </w:r>
    </w:p>
    <w:p>
      <w:r>
        <w:rPr>
          <w:b/>
          <w:highlight w:val="yellow"/>
        </w:rPr>
        <w:t>Weight:</w:t>
      </w:r>
      <w:r>
        <w:rPr>
          <w:highlight w:val="yellow"/>
        </w:rPr>
        <w:t xml:space="preserve"> 35% of Management Factor</w:t>
      </w:r>
    </w:p>
    <w:p>
      <w:r>
        <w:rPr>
          <w:highlight w:val="yellow"/>
        </w:rPr>
        <w:t>The Government will evaluate the offeror's project management approach for the 36-month ALMS implementation (Project Information, 2025).</w:t>
      </w:r>
    </w:p>
    <w:p>
      <w:r>
        <w:rPr>
          <w:b/>
          <w:highlight w:val="yellow"/>
        </w:rPr>
        <w:t>Evaluation Considerations:</w:t>
      </w:r>
    </w:p>
    <w:p>
      <w:pPr>
        <w:pStyle w:val="ListBullet"/>
      </w:pPr>
      <w:r>
        <w:rPr>
          <w:highlight w:val="yellow"/>
        </w:rPr>
        <w:t>Organizational structure and staffing plan for 15 installation deployment (Project Information, 2025)</w:t>
      </w:r>
    </w:p>
    <w:p>
      <w:pPr>
        <w:pStyle w:val="ListBullet"/>
      </w:pPr>
      <w:r>
        <w:rPr>
          <w:highlight w:val="yellow"/>
        </w:rPr>
        <w:t>Project execution plan and work breakdown structure for 36-month timeline (Project Information, 2025)</w:t>
      </w:r>
    </w:p>
    <w:p>
      <w:pPr>
        <w:pStyle w:val="ListBullet"/>
      </w:pPr>
      <w:r>
        <w:rPr>
          <w:highlight w:val="yellow"/>
        </w:rPr>
        <w:t>Milestone schedule and critical path for June 2026 IOC and December 2026 FOC (Project Information, 2025)</w:t>
      </w:r>
    </w:p>
    <w:p>
      <w:pPr>
        <w:pStyle w:val="ListBullet"/>
      </w:pPr>
      <w:r>
        <w:rPr>
          <w:highlight w:val="yellow"/>
        </w:rPr>
        <w:t>Resource allocation and management across CONUS installations (Project Information, 2025)</w:t>
      </w:r>
    </w:p>
    <w:p>
      <w:pPr>
        <w:pStyle w:val="ListBullet"/>
      </w:pPr>
      <w:r>
        <w:rPr>
          <w:highlight w:val="yellow"/>
        </w:rPr>
        <w:t>Risk management approach for $2,500,000 contract value (Project Information, 2025)</w:t>
      </w:r>
    </w:p>
    <w:p>
      <w:pPr>
        <w:pStyle w:val="ListBullet"/>
      </w:pPr>
      <w:r>
        <w:rPr>
          <w:highlight w:val="yellow"/>
        </w:rPr>
        <w:t>Issue escalation and resolution procedures for multi-site implementation</w:t>
      </w:r>
    </w:p>
    <w:p>
      <w:pPr>
        <w:pStyle w:val="ListBullet"/>
      </w:pPr>
      <w:r>
        <w:rPr>
          <w:highlight w:val="yellow"/>
        </w:rPr>
        <w:t>Change management process for 2,800 users (Project Information, 2025)</w:t>
      </w:r>
    </w:p>
    <w:p>
      <w:r>
        <w:rPr>
          <w:b/>
          <w:highlight w:val="yellow"/>
        </w:rPr>
        <w:t>M.5.3.2 Subfactor 2: Performance Management</w:t>
      </w:r>
    </w:p>
    <w:p>
      <w:r>
        <w:rPr>
          <w:b/>
          <w:highlight w:val="yellow"/>
        </w:rPr>
        <w:t>Weight:</w:t>
      </w:r>
      <w:r>
        <w:rPr>
          <w:highlight w:val="yellow"/>
        </w:rPr>
        <w:t xml:space="preserve"> 25% of Management Factor</w:t>
      </w:r>
    </w:p>
    <w:p>
      <w:r>
        <w:rPr>
          <w:highlight w:val="yellow"/>
        </w:rPr>
        <w:t>The Government will evaluate the offeror's approach to monitoring and managing performance throughout the 36-month period (Project Information, 2025).</w:t>
      </w:r>
    </w:p>
    <w:p>
      <w:r>
        <w:rPr>
          <w:b/>
          <w:highlight w:val="yellow"/>
        </w:rPr>
        <w:t>Evaluation Considerations:</w:t>
      </w:r>
    </w:p>
    <w:p>
      <w:pPr>
        <w:pStyle w:val="ListBullet"/>
      </w:pPr>
      <w:r>
        <w:rPr>
          <w:highlight w:val="yellow"/>
        </w:rPr>
        <w:t>Performance monitoring and measurement approach for ALMS implementation</w:t>
      </w:r>
    </w:p>
    <w:p>
      <w:pPr>
        <w:pStyle w:val="ListBullet"/>
      </w:pPr>
      <w:r>
        <w:rPr>
          <w:highlight w:val="yellow"/>
        </w:rPr>
        <w:t>Metrics and key performance indicators (KPIs) for 2,800 users across 15 installations (Project Information, 2025)</w:t>
      </w:r>
    </w:p>
    <w:p>
      <w:pPr>
        <w:pStyle w:val="ListBullet"/>
      </w:pPr>
      <w:r>
        <w:rPr>
          <w:highlight w:val="yellow"/>
        </w:rPr>
        <w:t>Quality control processes for logistics management system deployment</w:t>
      </w:r>
    </w:p>
    <w:p>
      <w:pPr>
        <w:pStyle w:val="ListBullet"/>
      </w:pPr>
      <w:r>
        <w:rPr>
          <w:highlight w:val="yellow"/>
        </w:rPr>
        <w:t>Corrective action procedures within 36-month timeline constraints (Project Information, 2025)</w:t>
      </w:r>
    </w:p>
    <w:p>
      <w:pPr>
        <w:pStyle w:val="ListBullet"/>
      </w:pPr>
      <w:r>
        <w:rPr>
          <w:highlight w:val="yellow"/>
        </w:rPr>
        <w:t>Continuous improvement methodology for ACAT III program (Project Information, 2025)</w:t>
      </w:r>
    </w:p>
    <w:p>
      <w:pPr>
        <w:pStyle w:val="ListBullet"/>
      </w:pPr>
      <w:r>
        <w:rPr>
          <w:highlight w:val="yellow"/>
        </w:rPr>
        <w:t>Responsiveness to Government feedback at Fort Lee, VA and CONUS locations (Project Information, 2025)</w:t>
      </w:r>
    </w:p>
    <w:p>
      <w:r>
        <w:rPr>
          <w:b/>
          <w:highlight w:val="yellow"/>
        </w:rPr>
        <w:t>M.5.3.3 Subfactor 3: Communication Plan</w:t>
      </w:r>
    </w:p>
    <w:p>
      <w:r>
        <w:rPr>
          <w:b/>
          <w:highlight w:val="yellow"/>
        </w:rPr>
        <w:t>Weight:</w:t>
      </w:r>
      <w:r>
        <w:rPr>
          <w:highlight w:val="yellow"/>
        </w:rPr>
        <w:t xml:space="preserve"> 20% of Management Factor</w:t>
      </w:r>
    </w:p>
    <w:p>
      <w:r>
        <w:rPr>
          <w:highlight w:val="yellow"/>
        </w:rPr>
        <w:t>The Government will evaluate the offeror's communication and reporting plan for the multi-installation deployment (Project Information, 2025).</w:t>
      </w:r>
    </w:p>
    <w:p>
      <w:r>
        <w:rPr>
          <w:b/>
          <w:highlight w:val="yellow"/>
        </w:rPr>
        <w:t>Evaluation Considerations:</w:t>
      </w:r>
    </w:p>
    <w:p>
      <w:pPr>
        <w:pStyle w:val="ListBullet"/>
      </w:pPr>
      <w:r>
        <w:rPr>
          <w:highlight w:val="yellow"/>
        </w:rPr>
        <w:t>Government interface and communication protocols with LTC Michael Chen (Project Information, 2025)</w:t>
      </w:r>
    </w:p>
    <w:p>
      <w:pPr>
        <w:pStyle w:val="ListBullet"/>
      </w:pPr>
      <w:r>
        <w:rPr>
          <w:highlight w:val="yellow"/>
        </w:rPr>
        <w:t>Status reporting approach and frequency for 36-month performance period (Project Information, 2025)</w:t>
      </w:r>
    </w:p>
    <w:p>
      <w:pPr>
        <w:pStyle w:val="ListBullet"/>
      </w:pPr>
      <w:r>
        <w:rPr>
          <w:highlight w:val="yellow"/>
        </w:rPr>
        <w:t>Meeting schedules and formats for 15 installation coordination (Project Information, 2025)</w:t>
      </w:r>
    </w:p>
    <w:p>
      <w:pPr>
        <w:pStyle w:val="ListBullet"/>
      </w:pPr>
      <w:r>
        <w:rPr>
          <w:highlight w:val="yellow"/>
        </w:rPr>
        <w:t>Issue notification and escalation process for 2,800 user deployment (Project Information, 2025)</w:t>
      </w:r>
    </w:p>
    <w:p>
      <w:pPr>
        <w:pStyle w:val="ListBullet"/>
      </w:pPr>
      <w:r>
        <w:rPr>
          <w:highlight w:val="yellow"/>
        </w:rPr>
        <w:t>Documentation and knowledge management for ALMS implementation</w:t>
      </w:r>
    </w:p>
    <w:p>
      <w:pPr>
        <w:pStyle w:val="ListBullet"/>
      </w:pPr>
      <w:r>
        <w:rPr>
          <w:highlight w:val="yellow"/>
        </w:rPr>
        <w:t>Stakeholder engagement approach across Army installations</w:t>
      </w:r>
    </w:p>
    <w:p>
      <w:r>
        <w:rPr>
          <w:b/>
          <w:highlight w:val="yellow"/>
        </w:rPr>
        <w:t>M.5.3.4 Subfactor 4: Key Personnel</w:t>
      </w:r>
    </w:p>
    <w:p>
      <w:r>
        <w:rPr>
          <w:b/>
          <w:highlight w:val="yellow"/>
        </w:rPr>
        <w:t>Weight:</w:t>
      </w:r>
      <w:r>
        <w:rPr>
          <w:highlight w:val="yellow"/>
        </w:rPr>
        <w:t xml:space="preserve"> 20% of Management Factor</w:t>
      </w:r>
    </w:p>
    <w:p>
      <w:r>
        <w:rPr>
          <w:highlight w:val="yellow"/>
        </w:rPr>
        <w:t>The Government will evaluate the qualifications and relevant experience of proposed key personnel for the Advanced Logistics Management System implementation (Project Information, 2025).</w:t>
      </w:r>
    </w:p>
    <w:p>
      <w:r>
        <w:rPr>
          <w:b/>
          <w:highlight w:val="yellow"/>
        </w:rPr>
        <w:t>Evaluation Considerations:</w:t>
      </w:r>
    </w:p>
    <w:p>
      <w:pPr>
        <w:pStyle w:val="ListBullet"/>
      </w:pPr>
      <w:r>
        <w:rPr>
          <w:highlight w:val="yellow"/>
        </w:rPr>
        <w:t>Education, certifications, and qualifications for logistics management systems</w:t>
      </w:r>
    </w:p>
    <w:p>
      <w:pPr>
        <w:pStyle w:val="ListBullet"/>
      </w:pPr>
      <w:r>
        <w:rPr>
          <w:highlight w:val="yellow"/>
        </w:rPr>
        <w:t>Relevant experience in similar roles for 2,800+ user deployments (Project Information, 2025)</w:t>
      </w:r>
    </w:p>
    <w:p>
      <w:pPr>
        <w:pStyle w:val="ListBullet"/>
      </w:pPr>
      <w:r>
        <w:rPr>
          <w:highlight w:val="yellow"/>
        </w:rPr>
        <w:t>Experience with similar technical solutions in Army/DoD environment</w:t>
      </w:r>
    </w:p>
    <w:p>
      <w:pPr>
        <w:pStyle w:val="ListBullet"/>
      </w:pPr>
      <w:r>
        <w:rPr>
          <w:highlight w:val="yellow"/>
        </w:rPr>
        <w:t>Experience with Government/DoD contracts under NAICS 541512 (Project Information, 2025)</w:t>
      </w:r>
    </w:p>
    <w:p>
      <w:pPr>
        <w:pStyle w:val="ListBullet"/>
      </w:pPr>
      <w:r>
        <w:rPr>
          <w:highlight w:val="yellow"/>
        </w:rPr>
        <w:t>Availability and commitment to 36-month effort (Project Information, 2025)</w:t>
      </w:r>
    </w:p>
    <w:p>
      <w:pPr>
        <w:pStyle w:val="ListBullet"/>
      </w:pPr>
      <w:r>
        <w:rPr>
          <w:highlight w:val="yellow"/>
        </w:rPr>
        <w:t>Team composition and balance of skills for multi-installation deployment</w:t>
      </w:r>
    </w:p>
    <w:p>
      <w:r>
        <w:rPr>
          <w:b/>
          <w:highlight w:val="yellow"/>
        </w:rPr>
        <w:t>Key Personnel Positions:</w:t>
      </w:r>
    </w:p>
    <w:p>
      <w:pPr>
        <w:pStyle w:val="ListBullet"/>
      </w:pPr>
      <w:r>
        <w:rPr>
          <w:highlight w:val="yellow"/>
        </w:rPr>
        <w:t>Project Manager (required for 36-month commitment) (Project Information, 2025)</w:t>
      </w:r>
    </w:p>
    <w:p>
      <w:pPr>
        <w:pStyle w:val="ListBullet"/>
      </w:pPr>
      <w:r>
        <w:rPr>
          <w:highlight w:val="yellow"/>
        </w:rPr>
        <w:t>Technical Lead (required for ALMS implementation)</w:t>
      </w:r>
    </w:p>
    <w:p>
      <w:pPr>
        <w:pStyle w:val="ListBullet"/>
      </w:pPr>
      <w:r>
        <w:rPr>
          <w:highlight w:val="yellow"/>
        </w:rPr>
        <w:t>Quality Assurance Manager (required for 15 installation deployment) (Project Information, 2025)</w:t>
      </w:r>
    </w:p>
    <w:p>
      <w:pPr>
        <w:pStyle w:val="Heading3"/>
      </w:pPr>
      <w:r>
        <w:t>M.5.4 Management Rating Scale</w:t>
      </w:r>
    </w:p>
    <w:p>
      <w:r>
        <w:rPr>
          <w:highlight w:val="yellow"/>
        </w:rPr>
        <w:t>Management proposals will be rated using the same adjectival rating scale as Technical (Outstanding, Good, Acceptable, Marginal, Unacceptable) per FAR 15.305(a) (FAR 15.305, 2024).</w:t>
      </w:r>
    </w:p>
    <w:p>
      <w:pPr>
        <w:spacing w:before="120" w:after="120"/>
      </w:pPr>
    </w:p>
    <w:p>
      <w:pPr>
        <w:pStyle w:val="Heading2"/>
      </w:pPr>
      <w:r>
        <w:t>M.6 FACTOR 3: PAST PERFORMANCE</w:t>
      </w:r>
    </w:p>
    <w:p>
      <w:r>
        <w:rPr>
          <w:b/>
          <w:highlight w:val="yellow"/>
        </w:rPr>
        <w:t>Weight:</w:t>
      </w:r>
      <w:r>
        <w:rPr>
          <w:highlight w:val="yellow"/>
        </w:rPr>
        <w:t xml:space="preserve"> 20%</w:t>
      </w:r>
    </w:p>
    <w:p>
      <w:pPr>
        <w:pStyle w:val="Heading3"/>
      </w:pPr>
      <w:r>
        <w:t>M.6.1 Description</w:t>
      </w:r>
    </w:p>
    <w:p>
      <w:r>
        <w:rPr>
          <w:highlight w:val="yellow"/>
        </w:rPr>
        <w:t>The Past Performance Factor evaluates the offeror's record of performance on contracts of similar size, scope, and complexity to the $2,500,000 ALMS implementation (Project Information, 2025).</w:t>
      </w:r>
    </w:p>
    <w:p>
      <w:pPr>
        <w:pStyle w:val="Heading3"/>
      </w:pPr>
      <w:r>
        <w:t>M.6.2 Past Performance Evaluation Approach</w:t>
      </w:r>
    </w:p>
    <w:p>
      <w:r>
        <w:rPr>
          <w:highlight w:val="yellow"/>
        </w:rPr>
        <w:t>The Government will evaluate past performance based on FAR 15.305(a)(2) (FAR 15.305, 2024):</w:t>
      </w:r>
    </w:p>
    <w:p>
      <w:pPr>
        <w:pStyle w:val="ListNumber"/>
      </w:pPr>
      <w:r>
        <w:rPr>
          <w:b/>
          <w:highlight w:val="yellow"/>
        </w:rPr>
        <w:t>Offeror-Provided References:</w:t>
      </w:r>
      <w:r>
        <w:rPr>
          <w:highlight w:val="yellow"/>
        </w:rPr>
        <w:t xml:space="preserve"> References submitted with proposal</w:t>
      </w:r>
    </w:p>
    <w:p>
      <w:pPr>
        <w:pStyle w:val="ListNumber"/>
      </w:pPr>
      <w:r>
        <w:rPr>
          <w:b/>
          <w:highlight w:val="yellow"/>
        </w:rPr>
        <w:t>Government Sources:</w:t>
      </w:r>
      <w:r>
        <w:rPr>
          <w:highlight w:val="yellow"/>
        </w:rPr>
        <w:t xml:space="preserve"> Past Performance Information Retrieval System (PPIRS), Contractor Performance Assessment Reporting System (CPARS), and other Government databases</w:t>
      </w:r>
    </w:p>
    <w:p>
      <w:pPr>
        <w:pStyle w:val="ListNumber"/>
      </w:pPr>
      <w:r>
        <w:rPr>
          <w:b/>
          <w:highlight w:val="yellow"/>
        </w:rPr>
        <w:t>Other Sources:</w:t>
      </w:r>
      <w:r>
        <w:rPr>
          <w:highlight w:val="yellow"/>
        </w:rPr>
        <w:t xml:space="preserve"> Information obtained from other sources as appropriate</w:t>
      </w:r>
    </w:p>
    <w:p>
      <w:r>
        <w:rPr>
          <w:b/>
          <w:highlight w:val="yellow"/>
        </w:rPr>
        <w:t>Minimum References Required:</w:t>
      </w:r>
      <w:r>
        <w:rPr>
          <w:highlight w:val="yellow"/>
        </w:rPr>
        <w:t xml:space="preserve"> 3 contracts within relevancy period</w:t>
      </w:r>
    </w:p>
    <w:p>
      <w:r>
        <w:rPr>
          <w:b/>
          <w:highlight w:val="yellow"/>
        </w:rPr>
        <w:t>Reference Relevancy Period:</w:t>
      </w:r>
      <w:r>
        <w:rPr>
          <w:highlight w:val="yellow"/>
        </w:rPr>
        <w:t xml:space="preserve"> Contracts performed within the past 5 years from October 15, 2025 (Project Information, 2025)</w:t>
      </w:r>
    </w:p>
    <w:p>
      <w:pPr>
        <w:pStyle w:val="Heading3"/>
      </w:pPr>
      <w:r>
        <w:t>M.6.3 Relevancy Criteria</w:t>
      </w:r>
    </w:p>
    <w:p>
      <w:r>
        <w:rPr>
          <w:highlight w:val="yellow"/>
        </w:rPr>
        <w:t>Past performance will be evaluated for relevancy based on similarity to the ALMS implementation (Project Information, 2025):</w:t>
      </w:r>
    </w:p>
    <w:p>
      <w:r>
        <w:rPr>
          <w:b/>
          <w:highlight w:val="yellow"/>
        </w:rPr>
        <w:t>Contract Similarity:</w:t>
      </w:r>
    </w:p>
    <w:p>
      <w:pPr>
        <w:pStyle w:val="ListBullet"/>
      </w:pPr>
      <w:r>
        <w:rPr>
          <w:highlight w:val="yellow"/>
        </w:rPr>
        <w:t>Similar technical scope and complexity to logistics management systems</w:t>
      </w:r>
    </w:p>
    <w:p>
      <w:pPr>
        <w:pStyle w:val="ListBullet"/>
      </w:pPr>
      <w:r>
        <w:rPr>
          <w:highlight w:val="yellow"/>
        </w:rPr>
        <w:t>Similar contract type (Firm Fixed Price) and value ($1,000,000 - $5,000,000) (Project Information, 2025)</w:t>
      </w:r>
    </w:p>
    <w:p>
      <w:pPr>
        <w:pStyle w:val="ListBullet"/>
      </w:pPr>
      <w:r>
        <w:rPr>
          <w:highlight w:val="yellow"/>
        </w:rPr>
        <w:t>Similar performance period (24-48 months compared to 36 months) (Project Information, 2025)</w:t>
      </w:r>
    </w:p>
    <w:p>
      <w:pPr>
        <w:pStyle w:val="ListBullet"/>
      </w:pPr>
      <w:r>
        <w:rPr>
          <w:highlight w:val="yellow"/>
        </w:rPr>
        <w:t>Similar customer environment (Government, DoD, Federal agencies)</w:t>
      </w:r>
    </w:p>
    <w:p>
      <w:r>
        <w:rPr>
          <w:b/>
          <w:highlight w:val="yellow"/>
        </w:rPr>
        <w:t>Performance Areas:</w:t>
      </w:r>
    </w:p>
    <w:p>
      <w:pPr>
        <w:pStyle w:val="ListBullet"/>
      </w:pPr>
      <w:r>
        <w:rPr>
          <w:highlight w:val="yellow"/>
        </w:rPr>
        <w:t>Multi-site system deployment (comparable to 15 Army installations) (Project Information, 2025)</w:t>
      </w:r>
    </w:p>
    <w:p>
      <w:pPr>
        <w:pStyle w:val="ListBullet"/>
      </w:pPr>
      <w:r>
        <w:rPr>
          <w:highlight w:val="yellow"/>
        </w:rPr>
        <w:t>User base management (comparable to</w:t>
      </w:r>
    </w:p>
    <w:p>
      <w:pPr>
        <w:spacing w:before="120" w:after="120"/>
      </w:pPr>
    </w:p>
    <w:p>
      <w:pPr>
        <w:pStyle w:val="Heading2"/>
      </w:pPr>
      <w:r>
        <w:t>References and Source Documents</w:t>
      </w:r>
    </w:p>
    <w:p>
      <w:r>
        <w:rPr>
          <w:highlight w:val="yellow"/>
        </w:rPr>
        <w:t>This document was generated using the following source materials:</w:t>
      </w:r>
    </w:p>
    <w:p>
      <w:pPr>
        <w:pStyle w:val="ListNumber"/>
      </w:pPr>
      <w:r>
        <w:rPr>
          <w:b/>
          <w:highlight w:val="yellow"/>
        </w:rPr>
        <w:t>Alms Kpp Ksa Complete</w:t>
      </w:r>
    </w:p>
    <w:p>
      <w:pPr>
        <w:pStyle w:val="ListBullet"/>
      </w:pPr>
      <w:r>
        <w:rPr>
          <w:highlight w:val="yellow"/>
        </w:rPr>
        <w:t>Document: `alms-kpp-ksa-complete.md`</w:t>
      </w:r>
    </w:p>
    <w:p>
      <w:pPr>
        <w:pStyle w:val="ListBullet"/>
      </w:pPr>
      <w:r>
        <w:rPr>
          <w:highlight w:val="yellow"/>
        </w:rPr>
        <w:t>Used for: Program requirements, specifications, and source data</w:t>
      </w:r>
    </w:p>
    <w:p>
      <w:pPr>
        <w:pStyle w:val="ListNumber"/>
      </w:pPr>
      <w:r>
        <w:rPr>
          <w:b/>
          <w:highlight w:val="yellow"/>
        </w:rPr>
        <w:t>13 Cdd Alms</w:t>
      </w:r>
    </w:p>
    <w:p>
      <w:pPr>
        <w:pStyle w:val="ListBullet"/>
      </w:pPr>
      <w:r>
        <w:rPr>
          <w:highlight w:val="yellow"/>
        </w:rPr>
        <w:t>Document: `13_CDD_ALMS.md`</w:t>
      </w:r>
    </w:p>
    <w:p>
      <w:pPr>
        <w:pStyle w:val="ListBullet"/>
      </w:pPr>
      <w:r>
        <w:rPr>
          <w:highlight w:val="yellow"/>
        </w:rPr>
        <w:t>Used for: Program requirements, specifications, and source data</w:t>
      </w:r>
    </w:p>
    <w:p>
      <w:pPr>
        <w:pStyle w:val="ListNumber"/>
      </w:pPr>
      <w:r>
        <w:rPr>
          <w:b/>
          <w:highlight w:val="yellow"/>
        </w:rPr>
        <w:t>9 Acquisition Strategy Alms</w:t>
      </w:r>
    </w:p>
    <w:p>
      <w:pPr>
        <w:pStyle w:val="ListBullet"/>
      </w:pPr>
      <w:r>
        <w:rPr>
          <w:highlight w:val="yellow"/>
        </w:rPr>
        <w:t>Document: `9_acquisition_strategy_ALMS.md`</w:t>
      </w:r>
    </w:p>
    <w:p>
      <w:pPr>
        <w:pStyle w:val="ListBullet"/>
      </w:pPr>
      <w:r>
        <w:rPr>
          <w:highlight w:val="yellow"/>
        </w:rPr>
        <w:t>Used for: Program requirements, specifications, and source data</w:t>
      </w:r>
    </w:p>
    <w:p>
      <w:pPr>
        <w:spacing w:before="120" w:after="120"/>
      </w:pPr>
    </w:p>
    <w:p>
      <w:r>
        <w:rPr>
          <w:highlight w:val="yellow"/>
        </w:rPr>
        <w:t>*Generated by DoD Acquisition Automation System* *Generation Date: 2025-12-18 21:22:15* *Program: Advanced Logistics Management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M - EVALUATION FACTORS FOR AWARD</dc:title>
  <dc:subject>Advanced Logistics Management System</dc:subject>
  <dc:creator>DoD Acquisition Automation System</dc:creator>
  <cp:keywords>Advanced Logistics Management System, AI-Generated, Acquisition Document, Review Required</cp:keywords>
  <dc:description>Generated by AI - All content highlighted in YELLOW is AI-generated. Review all sections before use. Track changes enabled for editing.</dc:description>
  <cp:lastModifiedBy/>
  <cp:revision>1</cp:revision>
  <dcterms:created xsi:type="dcterms:W3CDTF">2013-12-23T23:15:00Z</dcterms:created>
  <dcterms:modified xsi:type="dcterms:W3CDTF">2013-12-23T23:15:00Z</dcterms:modified>
  <cp:category/>
</cp:coreProperties>
</file>