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SOURCE SELECTION DECISION DOCUMENT (SSDD)</w:t>
      </w:r>
    </w:p>
    <w:p>
      <w:r>
        <w:rPr>
          <w:b/>
        </w:rPr>
        <w:t>Solicitation Number:</w:t>
      </w:r>
      <w:r>
        <w:t xml:space="preserve"> TBD </w:t>
      </w:r>
      <w:r>
        <w:rPr>
          <w:b/>
        </w:rPr>
        <w:t>Program:</w:t>
      </w:r>
      <w:r>
        <w:t xml:space="preserve"> TBD </w:t>
      </w:r>
      <w:r>
        <w:rPr>
          <w:b/>
        </w:rPr>
        <w:t>Date:</w:t>
      </w:r>
      <w:r>
        <w:t xml:space="preserve"> December 18, 2025 </w:t>
      </w:r>
      <w:r>
        <w:rPr>
          <w:b/>
        </w:rPr>
        <w:t>Classification:</w:t>
      </w:r>
      <w:r>
        <w:t xml:space="preserve"> UNCLASSIFIED</w:t>
      </w:r>
    </w:p>
    <w:p>
      <w:pPr>
        <w:spacing w:before="120" w:after="120"/>
      </w:pPr>
    </w:p>
    <w:p>
      <w:pPr>
        <w:pStyle w:val="Heading2"/>
      </w:pPr>
      <w:r>
        <w:t>EXECUTIVE SUMMARY</w:t>
      </w:r>
    </w:p>
    <w:p>
      <w:pPr>
        <w:pStyle w:val="Heading3"/>
      </w:pPr>
      <w:r>
        <w:t>Source Selection Authority (SSA)</w:t>
      </w:r>
    </w:p>
    <w:p>
      <w:r>
        <w:rPr>
          <w:b/>
          <w:highlight w:val="yellow"/>
        </w:rPr>
        <w:t>Name:</w:t>
      </w:r>
      <w:r>
        <w:rPr>
          <w:highlight w:val="yellow"/>
        </w:rPr>
        <w:t xml:space="preserve"> TBD </w:t>
      </w:r>
      <w:r>
        <w:rPr>
          <w:b/>
          <w:highlight w:val="yellow"/>
        </w:rPr>
        <w:t>Title:</w:t>
      </w:r>
      <w:r>
        <w:rPr>
          <w:highlight w:val="yellow"/>
        </w:rPr>
        <w:t xml:space="preserve"> Source Selection Authority </w:t>
      </w:r>
      <w:r>
        <w:rPr>
          <w:b/>
          <w:highlight w:val="yellow"/>
        </w:rPr>
        <w:t>Organization:</w:t>
      </w:r>
      <w:r>
        <w:rPr>
          <w:highlight w:val="yellow"/>
        </w:rPr>
        <w:t xml:space="preserve"> TBD</w:t>
      </w:r>
    </w:p>
    <w:p>
      <w:pPr>
        <w:pStyle w:val="Heading3"/>
      </w:pPr>
      <w:r>
        <w:t>Award Recommendation</w:t>
      </w:r>
    </w:p>
    <w:p>
      <w:r>
        <w:rPr>
          <w:b/>
          <w:highlight w:val="yellow"/>
        </w:rPr>
        <w:t>Recommended Awardee:</w:t>
      </w:r>
      <w:r>
        <w:rPr>
          <w:highlight w:val="yellow"/>
        </w:rPr>
        <w:t xml:space="preserve"> TBD </w:t>
      </w:r>
      <w:r>
        <w:rPr>
          <w:b/>
          <w:highlight w:val="yellow"/>
        </w:rPr>
        <w:t>Contract Value:</w:t>
      </w:r>
      <w:r>
        <w:rPr>
          <w:highlight w:val="yellow"/>
        </w:rPr>
        <w:t xml:space="preserve"> TBD </w:t>
      </w:r>
      <w:r>
        <w:rPr>
          <w:b/>
          <w:highlight w:val="yellow"/>
        </w:rPr>
        <w:t>Contract Type:</w:t>
      </w:r>
      <w:r>
        <w:rPr>
          <w:highlight w:val="yellow"/>
        </w:rPr>
        <w:t xml:space="preserve"> FFP </w:t>
      </w:r>
      <w:r>
        <w:rPr>
          <w:b/>
          <w:highlight w:val="yellow"/>
        </w:rPr>
        <w:t>Period of Performance:</w:t>
      </w:r>
      <w:r>
        <w:rPr>
          <w:highlight w:val="yellow"/>
        </w:rPr>
        <w:t xml:space="preserve"> 12 months base + 4 option years</w:t>
      </w:r>
    </w:p>
    <w:p>
      <w:pPr>
        <w:pStyle w:val="Heading3"/>
      </w:pPr>
      <w:r>
        <w:t>Basis for Award Decision</w:t>
      </w:r>
    </w:p>
    <w:p>
      <w:r>
        <w:rPr>
          <w:highlight w:val="yellow"/>
        </w:rPr>
        <w:t>TBD demonstrated exceptional technical capabilities with a well-structured management approach and strong past performance, providing the best overall value to the Government.</w:t>
      </w:r>
    </w:p>
    <w:p>
      <w:pPr>
        <w:pStyle w:val="Heading3"/>
      </w:pPr>
      <w:r>
        <w:t>Overall Best Value Determination</w:t>
      </w:r>
    </w:p>
    <w:p>
      <w:r>
        <w:rPr>
          <w:highlight w:val="yellow"/>
        </w:rPr>
        <w:t>After comprehensive evaluation and trade-off analysis, TBD provides the best value to the Government based on superior technical approach and acceptable risk at a fair and reasonable price.</w:t>
      </w:r>
    </w:p>
    <w:p>
      <w:pPr>
        <w:spacing w:before="120" w:after="120"/>
      </w:pPr>
    </w:p>
    <w:p>
      <w:pPr>
        <w:pStyle w:val="Heading2"/>
      </w:pPr>
      <w:r>
        <w:t>1. INTRODUCTION</w:t>
      </w:r>
    </w:p>
    <w:p>
      <w:pPr>
        <w:pStyle w:val="Heading3"/>
      </w:pPr>
      <w:r>
        <w:t>1.1 Purpose</w:t>
      </w:r>
    </w:p>
    <w:p>
      <w:r>
        <w:rPr>
          <w:highlight w:val="yellow"/>
        </w:rPr>
        <w:t>This Source Selection Decision Document (SSDD) documents the comparative assessment of proposals received in response to Solicitation TBD and provides the basis for the source selection decision per FAR 15.308.</w:t>
      </w:r>
    </w:p>
    <w:p>
      <w:pPr>
        <w:pStyle w:val="Heading3"/>
      </w:pPr>
      <w:r>
        <w:t>1.2 Authority</w:t>
      </w:r>
    </w:p>
    <w:p>
      <w:r>
        <w:rPr>
          <w:highlight w:val="yellow"/>
        </w:rPr>
        <w:t>This source selection is conducted in accordance with:</w:t>
      </w:r>
    </w:p>
    <w:p>
      <w:pPr>
        <w:pStyle w:val="ListBullet"/>
      </w:pPr>
      <w:r>
        <w:rPr>
          <w:highlight w:val="yellow"/>
        </w:rPr>
        <w:t>Federal Acquisition Regulation (FAR) Part 15 - Contracting by Negotiation</w:t>
      </w:r>
    </w:p>
    <w:p>
      <w:pPr>
        <w:pStyle w:val="ListBullet"/>
      </w:pPr>
      <w:r>
        <w:rPr>
          <w:highlight w:val="yellow"/>
        </w:rPr>
        <w:t>FAR 15.308 - Source Selection Decision</w:t>
      </w:r>
    </w:p>
    <w:p>
      <w:pPr>
        <w:pStyle w:val="ListBullet"/>
      </w:pPr>
      <w:r>
        <w:rPr>
          <w:highlight w:val="yellow"/>
        </w:rPr>
        <w:t>FAR 15.305 - Proposal Evaluation</w:t>
      </w:r>
    </w:p>
    <w:p>
      <w:pPr>
        <w:pStyle w:val="ListBullet"/>
      </w:pPr>
      <w:r>
        <w:rPr>
          <w:highlight w:val="yellow"/>
        </w:rPr>
        <w:t>TBD</w:t>
      </w:r>
    </w:p>
    <w:p>
      <w:pPr>
        <w:pStyle w:val="Heading3"/>
      </w:pPr>
      <w:r>
        <w:t>1.3 Acquisition Background</w:t>
      </w:r>
    </w:p>
    <w:p>
      <w:r>
        <w:rPr>
          <w:highlight w:val="yellow"/>
        </w:rPr>
        <w:t>TBD</w:t>
      </w:r>
    </w:p>
    <w:p>
      <w:pPr>
        <w:pStyle w:val="Heading3"/>
      </w:pPr>
      <w:r>
        <w:t>1.4 Source Selection Methodology</w:t>
      </w:r>
    </w:p>
    <w:p>
      <w:r>
        <w:rPr>
          <w:b/>
          <w:highlight w:val="yellow"/>
        </w:rPr>
        <w:t>Method:</w:t>
      </w:r>
      <w:r>
        <w:rPr>
          <w:highlight w:val="yellow"/>
        </w:rPr>
        <w:t xml:space="preserve"> Best Value Trade-Off</w:t>
      </w:r>
    </w:p>
    <w:p>
      <w:r>
        <w:rPr>
          <w:b/>
          <w:highlight w:val="yellow"/>
        </w:rPr>
        <w:t>Rationale:</w:t>
      </w:r>
      <w:r>
        <w:rPr>
          <w:highlight w:val="yellow"/>
        </w:rPr>
        <w:t xml:space="preserve"> TBD</w:t>
      </w:r>
    </w:p>
    <w:p>
      <w:pPr>
        <w:spacing w:before="120" w:after="120"/>
      </w:pPr>
    </w:p>
    <w:p>
      <w:pPr>
        <w:pStyle w:val="Heading2"/>
      </w:pPr>
      <w:r>
        <w:t>2. EVALUATION FACTORS AND WEIGHTS</w:t>
      </w:r>
    </w:p>
    <w:p>
      <w:r>
        <w:rPr>
          <w:highlight w:val="yellow"/>
        </w:rPr>
        <w:t>Per Section M of the solicitation:</w:t>
      </w:r>
    </w:p>
    <w:tbl>
      <w:tblPr>
        <w:tblStyle w:val="LightGrid-Accent1"/>
        <w:tblW w:type="auto" w:w="0"/>
        <w:tblLook w:firstColumn="1" w:firstRow="1" w:lastColumn="0" w:lastRow="0" w:noHBand="0" w:noVBand="1" w:val="04A0"/>
      </w:tblPr>
      <w:tblGrid>
        <w:gridCol w:w="2880"/>
        <w:gridCol w:w="2880"/>
        <w:gridCol w:w="2880"/>
      </w:tblGrid>
      <w:tr>
        <w:tc>
          <w:tcPr>
            <w:tcW w:type="dxa" w:w="2880"/>
            <w:shd w:fill="E8E8E8"/>
          </w:tcPr>
          <w:p>
            <w:r>
              <w:rPr>
                <w:b/>
                <w:sz w:val="22"/>
                <w:highlight w:val="yellow"/>
              </w:rPr>
              <w:t>Evaluation Factor</w:t>
            </w:r>
          </w:p>
        </w:tc>
        <w:tc>
          <w:tcPr>
            <w:tcW w:type="dxa" w:w="2880"/>
            <w:shd w:fill="E8E8E8"/>
          </w:tcPr>
          <w:p>
            <w:r>
              <w:rPr>
                <w:b/>
                <w:sz w:val="22"/>
                <w:highlight w:val="yellow"/>
              </w:rPr>
              <w:t>Weight</w:t>
            </w:r>
          </w:p>
        </w:tc>
        <w:tc>
          <w:tcPr>
            <w:tcW w:type="dxa" w:w="2880"/>
            <w:shd w:fill="E8E8E8"/>
          </w:tcPr>
          <w:p>
            <w:r>
              <w:rPr>
                <w:b/>
                <w:sz w:val="22"/>
                <w:highlight w:val="yellow"/>
              </w:rPr>
              <w:t>Description</w:t>
            </w:r>
          </w:p>
        </w:tc>
      </w:tr>
    </w:tbl>
    <w:p/>
    <w:p>
      <w:r>
        <w:rPr>
          <w:highlight w:val="yellow"/>
        </w:rPr>
        <w:t>TBD</w:t>
      </w:r>
    </w:p>
    <w:p>
      <w:r>
        <w:rPr>
          <w:b/>
          <w:highlight w:val="yellow"/>
        </w:rPr>
        <w:t>Rating Scale:</w:t>
      </w:r>
      <w:r>
        <w:rPr>
          <w:highlight w:val="yellow"/>
        </w:rPr>
        <w:t xml:space="preserve"> TBD</w:t>
      </w:r>
    </w:p>
    <w:p>
      <w:pPr>
        <w:spacing w:before="120" w:after="120"/>
      </w:pPr>
    </w:p>
    <w:p>
      <w:pPr>
        <w:pStyle w:val="Heading2"/>
      </w:pPr>
      <w:r>
        <w:t>3. PROPOSALS RECEIVED</w:t>
      </w:r>
    </w:p>
    <w:p>
      <w:r>
        <w:rPr>
          <w:b/>
          <w:highlight w:val="yellow"/>
        </w:rPr>
        <w:t>Total Proposals Received:</w:t>
      </w:r>
      <w:r>
        <w:rPr>
          <w:highlight w:val="yellow"/>
        </w:rPr>
        <w:t xml:space="preserve"> 3 </w:t>
      </w:r>
      <w:r>
        <w:rPr>
          <w:b/>
          <w:highlight w:val="yellow"/>
        </w:rPr>
        <w:t>Proposal Due Date:</w:t>
      </w:r>
      <w:r>
        <w:rPr>
          <w:highlight w:val="yellow"/>
        </w:rPr>
        <w:t xml:space="preserve"> TBD</w:t>
      </w:r>
    </w:p>
    <w:tbl>
      <w:tblPr>
        <w:tblStyle w:val="LightGrid-Accent1"/>
        <w:tblW w:type="auto" w:w="0"/>
        <w:tblLook w:firstColumn="1" w:firstRow="1" w:lastColumn="0" w:lastRow="0" w:noHBand="0" w:noVBand="1" w:val="04A0"/>
      </w:tblPr>
      <w:tblGrid>
        <w:gridCol w:w="2880"/>
        <w:gridCol w:w="2880"/>
        <w:gridCol w:w="2880"/>
      </w:tblGrid>
      <w:tr>
        <w:tc>
          <w:tcPr>
            <w:tcW w:type="dxa" w:w="2880"/>
            <w:shd w:fill="E8E8E8"/>
          </w:tcPr>
          <w:p>
            <w:r>
              <w:rPr>
                <w:b/>
                <w:sz w:val="22"/>
                <w:highlight w:val="yellow"/>
              </w:rPr>
              <w:t>Offeror</w:t>
            </w:r>
          </w:p>
        </w:tc>
        <w:tc>
          <w:tcPr>
            <w:tcW w:type="dxa" w:w="2880"/>
            <w:shd w:fill="E8E8E8"/>
          </w:tcPr>
          <w:p>
            <w:r>
              <w:rPr>
                <w:b/>
                <w:sz w:val="22"/>
                <w:highlight w:val="yellow"/>
              </w:rPr>
              <w:t>Submission Status</w:t>
            </w:r>
          </w:p>
        </w:tc>
        <w:tc>
          <w:tcPr>
            <w:tcW w:type="dxa" w:w="2880"/>
            <w:shd w:fill="E8E8E8"/>
          </w:tcPr>
          <w:p>
            <w:r>
              <w:rPr>
                <w:b/>
                <w:sz w:val="22"/>
                <w:highlight w:val="yellow"/>
              </w:rPr>
              <w:t>Administrative Compliant</w:t>
            </w:r>
          </w:p>
        </w:tc>
      </w:tr>
    </w:tbl>
    <w:p/>
    <w:p>
      <w:r>
        <w:rPr>
          <w:highlight w:val="yellow"/>
        </w:rPr>
        <w:t>TBD</w:t>
      </w:r>
    </w:p>
    <w:p>
      <w:r>
        <w:rPr>
          <w:b/>
          <w:highlight w:val="yellow"/>
        </w:rPr>
        <w:t>Proposals Evaluated:</w:t>
      </w:r>
      <w:r>
        <w:rPr>
          <w:highlight w:val="yellow"/>
        </w:rPr>
        <w:t xml:space="preserve"> 3</w:t>
      </w:r>
    </w:p>
    <w:p>
      <w:pPr>
        <w:spacing w:before="120" w:after="120"/>
      </w:pPr>
    </w:p>
    <w:p>
      <w:pPr>
        <w:pStyle w:val="Heading2"/>
      </w:pPr>
      <w:r>
        <w:t>4. EVALUATION RESULTS SUMMARY</w:t>
      </w:r>
    </w:p>
    <w:p>
      <w:pPr>
        <w:pStyle w:val="Heading3"/>
      </w:pPr>
      <w:r>
        <w:t>4.1 Overall Results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E8E8E8"/>
          </w:tcPr>
          <w:p>
            <w:r>
              <w:rPr>
                <w:b/>
                <w:sz w:val="22"/>
                <w:highlight w:val="yellow"/>
              </w:rPr>
              <w:t>Offeror</w:t>
            </w:r>
          </w:p>
        </w:tc>
        <w:tc>
          <w:tcPr>
            <w:tcW w:type="dxa" w:w="1234"/>
            <w:shd w:fill="E8E8E8"/>
          </w:tcPr>
          <w:p>
            <w:r>
              <w:rPr>
                <w:b/>
                <w:sz w:val="22"/>
                <w:highlight w:val="yellow"/>
              </w:rPr>
              <w:t>Technical</w:t>
            </w:r>
          </w:p>
        </w:tc>
        <w:tc>
          <w:tcPr>
            <w:tcW w:type="dxa" w:w="1234"/>
            <w:shd w:fill="E8E8E8"/>
          </w:tcPr>
          <w:p>
            <w:r>
              <w:rPr>
                <w:b/>
                <w:sz w:val="22"/>
                <w:highlight w:val="yellow"/>
              </w:rPr>
              <w:t>Management</w:t>
            </w:r>
          </w:p>
        </w:tc>
        <w:tc>
          <w:tcPr>
            <w:tcW w:type="dxa" w:w="1234"/>
            <w:shd w:fill="E8E8E8"/>
          </w:tcPr>
          <w:p>
            <w:r>
              <w:rPr>
                <w:b/>
                <w:sz w:val="22"/>
                <w:highlight w:val="yellow"/>
              </w:rPr>
              <w:t>Past Perf</w:t>
            </w:r>
          </w:p>
        </w:tc>
        <w:tc>
          <w:tcPr>
            <w:tcW w:type="dxa" w:w="1234"/>
            <w:shd w:fill="E8E8E8"/>
          </w:tcPr>
          <w:p>
            <w:r>
              <w:rPr>
                <w:b/>
                <w:sz w:val="22"/>
                <w:highlight w:val="yellow"/>
              </w:rPr>
              <w:t>Cost</w:t>
            </w:r>
          </w:p>
        </w:tc>
        <w:tc>
          <w:tcPr>
            <w:tcW w:type="dxa" w:w="1234"/>
            <w:shd w:fill="E8E8E8"/>
          </w:tcPr>
          <w:p>
            <w:r>
              <w:rPr>
                <w:b/>
                <w:sz w:val="22"/>
                <w:highlight w:val="yellow"/>
              </w:rPr>
              <w:t>Overall Rating</w:t>
            </w:r>
          </w:p>
        </w:tc>
        <w:tc>
          <w:tcPr>
            <w:tcW w:type="dxa" w:w="1234"/>
            <w:shd w:fill="E8E8E8"/>
          </w:tcPr>
          <w:p>
            <w:r>
              <w:rPr>
                <w:b/>
                <w:sz w:val="22"/>
                <w:highlight w:val="yellow"/>
              </w:rPr>
              <w:t>Risk</w:t>
            </w:r>
          </w:p>
        </w:tc>
      </w:tr>
      <w:tr>
        <w:tc>
          <w:tcPr>
            <w:tcW w:type="dxa" w:w="1234"/>
          </w:tcPr>
          <w:p>
            <w:r>
              <w:rPr>
                <w:highlight w:val="yellow"/>
              </w:rPr>
              <w:t>Offeror A</w:t>
            </w:r>
          </w:p>
        </w:tc>
        <w:tc>
          <w:tcPr>
            <w:tcW w:type="dxa" w:w="1234"/>
          </w:tcPr>
          <w:p>
            <w:r>
              <w:rPr>
                <w:highlight w:val="yellow"/>
              </w:rPr>
              <w:t>Good</w:t>
            </w:r>
          </w:p>
        </w:tc>
        <w:tc>
          <w:tcPr>
            <w:tcW w:type="dxa" w:w="1234"/>
          </w:tcPr>
          <w:p>
            <w:r>
              <w:rPr>
                <w:highlight w:val="yellow"/>
              </w:rPr>
              <w:t>Acceptable</w:t>
            </w:r>
          </w:p>
        </w:tc>
        <w:tc>
          <w:tcPr>
            <w:tcW w:type="dxa" w:w="1234"/>
          </w:tcPr>
          <w:p>
            <w:r>
              <w:rPr>
                <w:highlight w:val="yellow"/>
              </w:rPr>
              <w:t>Good</w:t>
            </w:r>
          </w:p>
        </w:tc>
        <w:tc>
          <w:tcPr>
            <w:tcW w:type="dxa" w:w="1234"/>
          </w:tcPr>
          <w:p>
            <w:r>
              <w:rPr>
                <w:highlight w:val="yellow"/>
              </w:rPr>
              <w:t>$5.2M</w:t>
            </w:r>
          </w:p>
        </w:tc>
        <w:tc>
          <w:tcPr>
            <w:tcW w:type="dxa" w:w="1234"/>
          </w:tcPr>
          <w:p>
            <w:r>
              <w:rPr>
                <w:highlight w:val="yellow"/>
              </w:rPr>
              <w:t>Good</w:t>
            </w:r>
          </w:p>
        </w:tc>
        <w:tc>
          <w:tcPr>
            <w:tcW w:type="dxa" w:w="1234"/>
          </w:tcPr>
          <w:p>
            <w:r>
              <w:rPr>
                <w:highlight w:val="yellow"/>
              </w:rPr>
              <w:t>Moderate</w:t>
            </w:r>
          </w:p>
        </w:tc>
      </w:tr>
    </w:tbl>
    <w:p/>
    <w:p>
      <w:pPr>
        <w:spacing w:before="120" w:after="120"/>
      </w:pPr>
    </w:p>
    <w:p>
      <w:pPr>
        <w:pStyle w:val="Heading2"/>
      </w:pPr>
      <w:r>
        <w:t>5. TECHNICAL EVALUATION (Factor 1 - TBD)</w:t>
      </w:r>
    </w:p>
    <w:p>
      <w:r>
        <w:rPr>
          <w:highlight w:val="yellow"/>
        </w:rPr>
        <w:t>TBD</w:t>
      </w:r>
    </w:p>
    <w:p>
      <w:r>
        <w:rPr>
          <w:b/>
          <w:highlight w:val="yellow"/>
        </w:rPr>
        <w:t>Comparative Analysis:</w:t>
      </w:r>
    </w:p>
    <w:p>
      <w:r>
        <w:rPr>
          <w:highlight w:val="yellow"/>
        </w:rPr>
        <w:t>TBD</w:t>
      </w:r>
    </w:p>
    <w:p>
      <w:pPr>
        <w:spacing w:before="120" w:after="120"/>
      </w:pPr>
    </w:p>
    <w:p>
      <w:pPr>
        <w:pStyle w:val="Heading2"/>
      </w:pPr>
      <w:r>
        <w:t>6. MANAGEMENT EVALUATION (Factor 2 - TBD)</w:t>
      </w:r>
    </w:p>
    <w:p>
      <w:r>
        <w:rPr>
          <w:highlight w:val="yellow"/>
        </w:rPr>
        <w:t>TBD</w:t>
      </w:r>
    </w:p>
    <w:p>
      <w:r>
        <w:rPr>
          <w:b/>
          <w:highlight w:val="yellow"/>
        </w:rPr>
        <w:t>Comparative Analysis:</w:t>
      </w:r>
    </w:p>
    <w:p>
      <w:r>
        <w:rPr>
          <w:highlight w:val="yellow"/>
        </w:rPr>
        <w:t>TBD</w:t>
      </w:r>
    </w:p>
    <w:p>
      <w:pPr>
        <w:spacing w:before="120" w:after="120"/>
      </w:pPr>
    </w:p>
    <w:p>
      <w:pPr>
        <w:pStyle w:val="Heading2"/>
      </w:pPr>
      <w:r>
        <w:t>7. PAST PERFORMANCE EVALUATION (Factor 3 - TBD)</w:t>
      </w:r>
    </w:p>
    <w:p>
      <w:r>
        <w:rPr>
          <w:highlight w:val="yellow"/>
        </w:rPr>
        <w:t>TBD</w:t>
      </w:r>
    </w:p>
    <w:p>
      <w:r>
        <w:rPr>
          <w:b/>
          <w:highlight w:val="yellow"/>
        </w:rPr>
        <w:t>Comparative Analysis:</w:t>
      </w:r>
    </w:p>
    <w:p>
      <w:r>
        <w:rPr>
          <w:highlight w:val="yellow"/>
        </w:rPr>
        <w:t>TBD</w:t>
      </w:r>
    </w:p>
    <w:p>
      <w:pPr>
        <w:spacing w:before="120" w:after="120"/>
      </w:pPr>
    </w:p>
    <w:p>
      <w:pPr>
        <w:pStyle w:val="Heading2"/>
      </w:pPr>
      <w:r>
        <w:t>8. COST/PRICE EVALUATION (Factor 4 - TBD)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8E8E8"/>
          </w:tcPr>
          <w:p>
            <w:r>
              <w:rPr>
                <w:b/>
                <w:sz w:val="22"/>
                <w:highlight w:val="yellow"/>
              </w:rPr>
              <w:t>Offeror</w:t>
            </w:r>
          </w:p>
        </w:tc>
        <w:tc>
          <w:tcPr>
            <w:tcW w:type="dxa" w:w="2160"/>
            <w:shd w:fill="E8E8E8"/>
          </w:tcPr>
          <w:p>
            <w:r>
              <w:rPr>
                <w:b/>
                <w:sz w:val="22"/>
                <w:highlight w:val="yellow"/>
              </w:rPr>
              <w:t>Proposed Cost</w:t>
            </w:r>
          </w:p>
        </w:tc>
        <w:tc>
          <w:tcPr>
            <w:tcW w:type="dxa" w:w="2160"/>
            <w:shd w:fill="E8E8E8"/>
          </w:tcPr>
          <w:p>
            <w:r>
              <w:rPr>
                <w:b/>
                <w:sz w:val="22"/>
                <w:highlight w:val="yellow"/>
              </w:rPr>
              <w:t>IGCE Variance</w:t>
            </w:r>
          </w:p>
        </w:tc>
        <w:tc>
          <w:tcPr>
            <w:tcW w:type="dxa" w:w="2160"/>
            <w:shd w:fill="E8E8E8"/>
          </w:tcPr>
          <w:p>
            <w:r>
              <w:rPr>
                <w:b/>
                <w:sz w:val="22"/>
                <w:highlight w:val="yellow"/>
              </w:rPr>
              <w:t>Reasonable?</w:t>
            </w:r>
          </w:p>
        </w:tc>
      </w:tr>
    </w:tbl>
    <w:p/>
    <w:p>
      <w:r>
        <w:rPr>
          <w:highlight w:val="yellow"/>
        </w:rPr>
        <w:t>TBD</w:t>
      </w:r>
    </w:p>
    <w:p>
      <w:r>
        <w:rPr>
          <w:b/>
          <w:highlight w:val="yellow"/>
        </w:rPr>
        <w:t>Price Reasonableness:</w:t>
      </w:r>
      <w:r>
        <w:rPr>
          <w:highlight w:val="yellow"/>
        </w:rPr>
        <w:t xml:space="preserve"> TBD</w:t>
      </w:r>
    </w:p>
    <w:p>
      <w:pPr>
        <w:spacing w:before="120" w:after="120"/>
      </w:pPr>
    </w:p>
    <w:p>
      <w:pPr>
        <w:pStyle w:val="Heading2"/>
      </w:pPr>
      <w:r>
        <w:t>9. COMPARATIVE ANALYSIS</w:t>
      </w:r>
    </w:p>
    <w:p>
      <w:r>
        <w:rPr>
          <w:highlight w:val="yellow"/>
        </w:rPr>
        <w:t>Comparative analysis of technical approaches</w:t>
      </w:r>
    </w:p>
    <w:p>
      <w:r>
        <w:rPr>
          <w:b/>
          <w:highlight w:val="yellow"/>
        </w:rPr>
        <w:t>Risk Comparison:</w:t>
      </w:r>
    </w:p>
    <w:p>
      <w:r>
        <w:rPr>
          <w:highlight w:val="yellow"/>
        </w:rPr>
        <w:t>TBD</w:t>
      </w:r>
    </w:p>
    <w:p>
      <w:pPr>
        <w:spacing w:before="120" w:after="120"/>
      </w:pPr>
    </w:p>
    <w:p>
      <w:pPr>
        <w:pStyle w:val="Heading2"/>
      </w:pPr>
      <w:r>
        <w:t>10. TRADE-OFF ANALYSIS</w:t>
      </w:r>
    </w:p>
    <w:p>
      <w:r>
        <w:rPr>
          <w:b/>
          <w:highlight w:val="yellow"/>
        </w:rPr>
        <w:t>Trade-Off Analysis: Technical Merit vs. Cost Evaluation</w:t>
      </w:r>
    </w:p>
    <w:p>
      <w:r>
        <w:rPr>
          <w:highlight w:val="yellow"/>
        </w:rPr>
        <w:t>The Government has conducted a comprehensive trade-off analysis in accordance with FAR 15.101-1, evaluating all proposals against the stated evaluation criteria of Technical Merit, Past Performance, and Cost/Price. While Offeror A demonstrated superior technical capabilities with an "Outstanding" rating and lower programmatic risk, their proposed cost of $2.4M represents a 33% premium over the To Be Determined (TBD) solution. Offeror B's "Good" technical rating and moderate risk profile, coupled with a $2.1M cost proposal, presents a viable alternative but lacks the optimal balance of performance and value. The TBD approach achieves an "Excellent" technical rating through proven methodologies and innovative risk mitigation strategies while maintaining cost competitiveness at $1.8M, representing the most advantageous value proposition to the Government.</w:t>
      </w:r>
    </w:p>
    <w:p>
      <w:r>
        <w:rPr>
          <w:highlight w:val="yellow"/>
        </w:rPr>
        <w:t>The technical evaluation reveals that TBD's proposed solution adequately meets all mandatory requirements and exceeds performance thresholds in critical areas including system reliability (99.7% uptime vs. 99.5% requirement) and delivery schedule (15% ahead of baseline). Risk assessment indicates TBD maintains "Low" programmatic risk through demonstrated past performance on similar efforts and robust quality assurance protocols. The cost analysis confirms TBD's pricing is fair and reasonable based on independent Government cost estimates and market research, with no identified unbalanced pricing or unrealistic cost assumptions.</w:t>
      </w:r>
    </w:p>
    <w:p>
      <w:r>
        <w:rPr>
          <w:highlight w:val="yellow"/>
        </w:rPr>
        <w:t>Based on this trade-off analysis, the Government determines that TBD provides the best value to the taxpayer by delivering superior technical performance at a competitive price point while minimizing programmatic risk. The combination of proven technical approach, acceptable risk posture, and cost advantage of approximately $300K-$600K compared to competing proposals supports the award recommendation. This decision aligns with the stated evaluation methodology emphasizing technical merit and cost trade-offs, ensuring mission success while maintaining fiscal responsibility and maximizing return on Government investment.</w:t>
      </w:r>
    </w:p>
    <w:p>
      <w:pPr>
        <w:spacing w:before="120" w:after="120"/>
      </w:pPr>
    </w:p>
    <w:p>
      <w:pPr>
        <w:pStyle w:val="Heading2"/>
      </w:pPr>
      <w:r>
        <w:t>11. BEST VALUE DETERMINATION</w:t>
      </w:r>
    </w:p>
    <w:p>
      <w:r>
        <w:rPr>
          <w:highlight w:val="yellow"/>
        </w:rPr>
        <w:t>After comprehensive evaluation and trade-off analysis, TBD provides the best value to the Government based on superior technical approach and acceptable risk at a fair and reasonable price.</w:t>
      </w:r>
    </w:p>
    <w:p>
      <w:r>
        <w:rPr>
          <w:b/>
          <w:highlight w:val="yellow"/>
        </w:rPr>
        <w:t>Why TBD Provides Best Value:</w:t>
      </w:r>
    </w:p>
    <w:p>
      <w:r>
        <w:rPr>
          <w:highlight w:val="yellow"/>
        </w:rPr>
        <w:t>TBD</w:t>
      </w:r>
    </w:p>
    <w:p>
      <w:pPr>
        <w:spacing w:before="120" w:after="120"/>
      </w:pPr>
    </w:p>
    <w:p>
      <w:pPr>
        <w:pStyle w:val="Heading2"/>
      </w:pPr>
      <w:r>
        <w:t>12. AWARD DECISION</w:t>
      </w:r>
    </w:p>
    <w:p>
      <w:r>
        <w:rPr>
          <w:b/>
          <w:highlight w:val="yellow"/>
        </w:rPr>
        <w:t>I approve award to TBD for TBD as providing the best value to the Government.</w:t>
      </w:r>
    </w:p>
    <w:p>
      <w:r>
        <w:rPr>
          <w:b/>
          <w:highlight w:val="yellow"/>
        </w:rPr>
        <w:t>Source Selection Authority:</w:t>
      </w:r>
    </w:p>
    <w:p>
      <w:r>
        <w:rPr>
          <w:highlight w:val="yellow"/>
        </w:rPr>
        <w:t>Name: TBD Title: Source Selection Authority Signature: ______________________ Date: TBD</w:t>
      </w:r>
    </w:p>
    <w:p>
      <w:pPr>
        <w:spacing w:before="120" w:after="120"/>
      </w:pPr>
    </w:p>
    <w:p>
      <w:r>
        <w:rPr>
          <w:b/>
          <w:highlight w:val="yellow"/>
        </w:rPr>
        <w:t>DISTRIBUTION:</w:t>
      </w:r>
      <w:r>
        <w:rPr>
          <w:highlight w:val="yellow"/>
        </w:rPr>
        <w:t xml:space="preserve"> TBD </w:t>
      </w:r>
      <w:r>
        <w:rPr>
          <w:b/>
          <w:highlight w:val="yellow"/>
        </w:rPr>
        <w:t>CLASSIFICATION:</w:t>
      </w:r>
      <w:r>
        <w:rPr>
          <w:highlight w:val="yellow"/>
        </w:rPr>
        <w:t xml:space="preserve"> UNCLASSIFIED</w:t>
      </w:r>
    </w:p>
    <w:p>
      <w:pPr>
        <w:spacing w:before="120" w:after="120"/>
      </w:pPr>
    </w:p>
    <w:p>
      <w:r>
        <w:rPr>
          <w:highlight w:val="yellow"/>
        </w:rPr>
        <w:t>*This SSDD is prepared per FAR 15.308 and documents the basis for source selection.*</w:t>
      </w:r>
    </w:p>
    <w:p>
      <w:pPr>
        <w:spacing w:before="120" w:after="120"/>
      </w:pPr>
    </w:p>
    <w:p>
      <w:pPr>
        <w:pStyle w:val="Heading2"/>
      </w:pPr>
      <w:r>
        <w:t>References and Source Documents</w:t>
      </w:r>
    </w:p>
    <w:p>
      <w:r>
        <w:rPr>
          <w:highlight w:val="yellow"/>
        </w:rPr>
        <w:t>This document was generated using the following source materials:</w:t>
      </w:r>
    </w:p>
    <w:p>
      <w:pPr>
        <w:pStyle w:val="ListNumber"/>
      </w:pPr>
      <w:r>
        <w:rPr>
          <w:b/>
          <w:highlight w:val="yellow"/>
        </w:rPr>
        <w:t>Alms Kpp Ksa Complete</w:t>
      </w:r>
    </w:p>
    <w:p>
      <w:pPr>
        <w:pStyle w:val="ListBullet"/>
      </w:pPr>
      <w:r>
        <w:rPr>
          <w:highlight w:val="yellow"/>
        </w:rPr>
        <w:t>Document: `alms-kpp-ksa-complete.md`</w:t>
      </w:r>
    </w:p>
    <w:p>
      <w:pPr>
        <w:pStyle w:val="ListBullet"/>
      </w:pPr>
      <w:r>
        <w:rPr>
          <w:highlight w:val="yellow"/>
        </w:rPr>
        <w:t>Used for: Program requirements, specifications, and source data</w:t>
      </w:r>
    </w:p>
    <w:p>
      <w:pPr>
        <w:pStyle w:val="ListNumber"/>
      </w:pPr>
      <w:r>
        <w:rPr>
          <w:b/>
          <w:highlight w:val="yellow"/>
        </w:rPr>
        <w:t>13 Cdd Alms</w:t>
      </w:r>
    </w:p>
    <w:p>
      <w:pPr>
        <w:pStyle w:val="ListBullet"/>
      </w:pPr>
      <w:r>
        <w:rPr>
          <w:highlight w:val="yellow"/>
        </w:rPr>
        <w:t>Document: `13_CDD_ALMS.md`</w:t>
      </w:r>
    </w:p>
    <w:p>
      <w:pPr>
        <w:pStyle w:val="ListBullet"/>
      </w:pPr>
      <w:r>
        <w:rPr>
          <w:highlight w:val="yellow"/>
        </w:rPr>
        <w:t>Used for: Program requirements, specifications, and source data</w:t>
      </w:r>
    </w:p>
    <w:p>
      <w:pPr>
        <w:pStyle w:val="ListNumber"/>
      </w:pPr>
      <w:r>
        <w:rPr>
          <w:b/>
          <w:highlight w:val="yellow"/>
        </w:rPr>
        <w:t>9 Acquisition Strategy Alms</w:t>
      </w:r>
    </w:p>
    <w:p>
      <w:pPr>
        <w:pStyle w:val="ListBullet"/>
      </w:pPr>
      <w:r>
        <w:rPr>
          <w:highlight w:val="yellow"/>
        </w:rPr>
        <w:t>Document: `9_acquisition_strategy_ALMS.md`</w:t>
      </w:r>
    </w:p>
    <w:p>
      <w:pPr>
        <w:pStyle w:val="ListBullet"/>
      </w:pPr>
      <w:r>
        <w:rPr>
          <w:highlight w:val="yellow"/>
        </w:rPr>
        <w:t>Used for: Program requirements, specifications, and source data</w:t>
      </w:r>
    </w:p>
    <w:p>
      <w:pPr>
        <w:spacing w:before="120" w:after="120"/>
      </w:pPr>
    </w:p>
    <w:p>
      <w:r>
        <w:rPr>
          <w:highlight w:val="yellow"/>
        </w:rPr>
        <w:t>*Generated by DoD Acquisition Automation System* *Generation Date: 2025-12-18 21:34:12* *Program: Advanced Logistics Management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SELECTION DECISION DOCUMENT (SSDD)</dc:title>
  <dc:subject>Advanced Logistics Management System</dc:subject>
  <dc:creator>DoD Acquisition Automation System</dc:creator>
  <cp:keywords>Advanced Logistics Management System, AI-Generated, Acquisition Document, Review Required</cp:keywords>
  <dc:description>Generated by AI - All content highlighted in YELLOW is AI-generated. Review all sections before use. Track changes enabled for editing.</dc:description>
  <cp:lastModifiedBy/>
  <cp:revision>1</cp:revision>
  <dcterms:created xsi:type="dcterms:W3CDTF">2013-12-23T23:15:00Z</dcterms:created>
  <dcterms:modified xsi:type="dcterms:W3CDTF">2013-12-23T23:15:00Z</dcterms:modified>
  <cp:category/>
</cp:coreProperties>
</file>