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Arial" w:cs="Arial" w:eastAsia="Arial" w:hAnsi="Arial"/>
          <w:b/>
          <w:bCs/>
          <w:color w:val="1F3864"/>
          <w:sz w:val="48"/>
          <w:szCs w:val="48"/>
        </w:rPr>
        <w:t xml:space="preserve">Osuna Lab Research</w:t>
      </w:r>
    </w:p>
    <w:p>
      <w:pPr>
        <w:spacing w:after="120" w:before="0"/>
        <w:jc w:val="center"/>
      </w:pPr>
      <w:r>
        <w:rPr>
          <w:rFonts w:ascii="Arial" w:cs="Arial" w:eastAsia="Arial" w:hAnsi="Arial"/>
          <w:b/>
          <w:bCs/>
          <w:color w:val="2E5FA3"/>
          <w:sz w:val="48"/>
          <w:szCs w:val="48"/>
        </w:rPr>
        <w:t xml:space="preserve">Paper Digest &amp; Summaries</w:t>
      </w:r>
    </w:p>
    <w:p>
      <w:pPr>
        <w:pBdr>
          <w:bottom w:val="single" w:color="2E5FA3" w:sz="6"/>
        </w:pBdr>
        <w:spacing w:after="100" w:before="100"/>
      </w:pPr>
    </w:p>
    <w:p>
      <w:pPr>
        <w:spacing w:after="80" w:before="240"/>
        <w:jc w:val="center"/>
      </w:pPr>
      <w:r>
        <w:rPr>
          <w:rFonts w:ascii="Arial" w:cs="Arial" w:eastAsia="Arial" w:hAnsi="Arial"/>
          <w:i/>
          <w:iCs/>
          <w:color w:val="595959"/>
          <w:sz w:val="26"/>
          <w:szCs w:val="26"/>
        </w:rPr>
        <w:t xml:space="preserve">TrpB × MetaDynamics × Conformational Dynamics</w:t>
      </w:r>
    </w:p>
    <w:p>
      <w:pPr>
        <w:spacing w:after="2000" w:before="0"/>
        <w:jc w:val="center"/>
      </w:pPr>
      <w:r>
        <w:rPr>
          <w:rFonts w:ascii="Arial" w:cs="Arial" w:eastAsia="Arial" w:hAnsi="Arial"/>
          <w:color w:val="888888"/>
          <w:sz w:val="22"/>
          <w:szCs w:val="22"/>
        </w:rPr>
        <w:t xml:space="preserve">Prepared for MetaDynamics Project Onboarding | Zhenpeng Liu | March 2026</w:t>
      </w:r>
    </w:p>
    <w:p>
      <w:r>
        <w:br w:type="page"/>
      </w:r>
    </w:p>
    <w:p>
      <w:pPr>
        <w:pStyle w:val="Heading1"/>
        <w:spacing w:after="200" w:before="360"/>
      </w:pPr>
      <w:r>
        <w:rPr>
          <w:rFonts w:ascii="Arial" w:cs="Arial" w:eastAsia="Arial" w:hAnsi="Arial"/>
          <w:b/>
          <w:bCs/>
          <w:color w:val="1F3864"/>
          <w:sz w:val="30"/>
          <w:szCs w:val="30"/>
        </w:rPr>
        <w:t xml:space="preserve">Overview: The Osuna Lab Research Program</w:t>
      </w:r>
    </w:p>
    <w:p>
      <w:pPr>
        <w:pBdr>
          <w:bottom w:val="single" w:color="2E5FA3" w:sz="6"/>
        </w:pBdr>
        <w:spacing w:after="100" w:before="100"/>
      </w:pPr>
    </w:p>
    <w:p>
      <w:pPr>
        <w:spacing w:after="120"/>
      </w:pPr>
      <w:r>
        <w:rPr>
          <w:rFonts w:ascii="Arial" w:cs="Arial" w:eastAsia="Arial" w:hAnsi="Arial"/>
          <w:sz w:val="22"/>
          <w:szCs w:val="22"/>
        </w:rPr>
        <w:t xml:space="preserve">Silvia Osuna (ICREA Research Professor, Universitat de Girona, Spain) leads one of the world's most recognized groups at the intersection of computational chemistry and enzyme engineering. Her lab's core contribution to science can be summarized in one statement:</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The Central Thesis of the Osuna Lab</w:t>
            </w:r>
          </w:p>
          <w:p>
            <w:pPr>
              <w:spacing w:after="0"/>
            </w:pPr>
            <w:r>
              <w:rPr>
                <w:rFonts w:ascii="Arial" w:cs="Arial" w:eastAsia="Arial" w:hAnsi="Arial"/>
                <w:sz w:val="22"/>
                <w:szCs w:val="22"/>
              </w:rPr>
              <w:t xml:space="preserve">Enzyme catalytic efficiency is determined by the conformational ensemble — the distribution of thermally accessible conformations and their relative free energies (the Free Energy Landscape, FEL). Engineering enzymes requires engineering this population distribution, not just the static active-site geometry. MetaDynamics is the computational tool that makes this FEL visible.</w:t>
            </w:r>
          </w:p>
        </w:tc>
      </w:tr>
    </w:tbl>
    <w:p>
      <w:pPr>
        <w:spacing w:after="0"/>
      </w:pPr>
    </w:p>
    <w:p>
      <w:pPr>
        <w:spacing w:after="120"/>
      </w:pPr>
      <w:r>
        <w:rPr>
          <w:rFonts w:ascii="Arial" w:cs="Arial" w:eastAsia="Arial" w:hAnsi="Arial"/>
          <w:sz w:val="22"/>
          <w:szCs w:val="22"/>
        </w:rPr>
        <w:t xml:space="preserve">The lab's TrpB research program spans 2019 to the present and contains 6 primary papers directly relevant to your project. Below is a comprehensive summary of each, written to give you enough understanding to work with these papers immediately — even before you've had time to read them in full.</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600"/>
        <w:gridCol w:w="1360"/>
      </w:tblGrid>
      <w:t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Paper</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Journal &amp; Year</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Method</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Result</w:t>
            </w:r>
          </w:p>
        </w:tc>
        <w:tc>
          <w:tcPr>
            <w:tcW w:type="dxa" w:w="1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JACS 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JACS 141, 13049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Well-tempered WalkersMD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FEL explains TrpB allosteric evolution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 Library</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ACS Catal 2021</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ACS Catal 11, 13733</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SPM + MetaDynamics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 design = 3,000 DE variants</w:t>
            </w:r>
          </w:p>
        </w:tc>
        <w:tc>
          <w:tcPr>
            <w:tcW w:type="dxa" w:w="1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Open (CC-BY)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Protein Sci 2022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Protein Sci 31, e4426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tAF2 + short MD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FEL estimation without MetaDynamics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(PMC9601780)</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Faraday Disc 2024</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Faraday Discuss 252</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SPM + tAF2</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SPM method review &amp; extension</w:t>
            </w:r>
          </w:p>
        </w:tc>
        <w:tc>
          <w:tcPr>
            <w:tcW w:type="dxa" w:w="1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UNC Library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ACS Catal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ACS Catal 14, 16986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 + loop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TrpA α-subunit loop dynamics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 Library</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Protein Sci 2025</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Protein Sci 34, e70103</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MD + SPM on natural TrpB</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Natural standalone TrpB mechanism</w:t>
            </w:r>
          </w:p>
        </w:tc>
        <w:tc>
          <w:tcPr>
            <w:tcW w:type="dxa" w:w="1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UNC Library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CCCCCC" w:sz="1"/>
              <w:right w:val="single" w:color="CCCCCC" w:sz="1"/>
            </w:tcBorders>
            <w:shd w:fill="EAF2FB" w:val="clear"/>
            <w:tcMar>
              <w:top w:type="dxa" w:w="120"/>
              <w:left w:type="dxa" w:w="160"/>
              <w:bottom w:type="dxa" w:w="120"/>
              <w:right w:type="dxa" w:w="160"/>
            </w:tcMar>
          </w:tcPr>
          <w:p>
            <w:pPr>
              <w:spacing w:after="40"/>
            </w:pPr>
            <w:r>
              <w:rPr>
                <w:rFonts w:ascii="Arial" w:cs="Arial" w:eastAsia="Arial" w:hAnsi="Arial"/>
                <w:b/>
                <w:bCs/>
                <w:color w:val="2E5FA3"/>
                <w:sz w:val="18"/>
                <w:szCs w:val="18"/>
              </w:rPr>
              <w:t xml:space="preserve">Paper 1  —  🏢 UNC Library</w:t>
            </w:r>
          </w:p>
          <w:p>
            <w:pPr>
              <w:spacing w:after="60"/>
            </w:pPr>
            <w:r>
              <w:rPr>
                <w:rFonts w:ascii="Arial" w:cs="Arial" w:eastAsia="Arial" w:hAnsi="Arial"/>
                <w:b/>
                <w:bCs/>
                <w:sz w:val="24"/>
                <w:szCs w:val="24"/>
              </w:rPr>
              <w:t xml:space="preserve">Deciphering the Allosterically Driven Conformational Ensemble in Tryptophan Synthase Evolution</w:t>
            </w:r>
          </w:p>
          <w:p>
            <w:pPr>
              <w:spacing w:after="40"/>
            </w:pPr>
            <w:r>
              <w:rPr>
                <w:rFonts w:ascii="Arial" w:cs="Arial" w:eastAsia="Arial" w:hAnsi="Arial"/>
                <w:i/>
                <w:iCs/>
                <w:color w:val="595959"/>
                <w:sz w:val="20"/>
                <w:szCs w:val="20"/>
              </w:rPr>
              <w:t xml:space="preserve">Maria-Solano MA, Iglesias-Fernández J, Osuna S</w:t>
            </w:r>
          </w:p>
          <w:p>
            <w:pPr>
              <w:spacing w:after="40"/>
            </w:pPr>
            <w:r>
              <w:rPr>
                <w:rFonts w:ascii="Arial" w:cs="Arial" w:eastAsia="Arial" w:hAnsi="Arial"/>
                <w:color w:val="595959"/>
                <w:sz w:val="20"/>
                <w:szCs w:val="20"/>
              </w:rPr>
              <w:t xml:space="preserve">J. Am. Chem. Soc. 2019, 141(33), 13049–13056</w:t>
            </w:r>
          </w:p>
          <w:p>
            <w:pPr>
              <w:spacing w:after="0"/>
            </w:pPr>
            <w:r>
              <w:rPr>
                <w:rFonts w:ascii="Courier New" w:cs="Courier New" w:eastAsia="Courier New" w:hAnsi="Courier New"/>
                <w:color w:val="777777"/>
                <w:sz w:val="18"/>
                <w:szCs w:val="18"/>
              </w:rPr>
              <w:t xml:space="preserve">DOI: 10.1021/jacs.9b03646</w:t>
            </w:r>
          </w:p>
        </w:tc>
      </w:tr>
    </w:tbl>
    <w:p>
      <w:pPr>
        <w:spacing w:after="0"/>
      </w:pPr>
    </w:p>
    <w:p>
      <w:pPr>
        <w:pStyle w:val="Heading2"/>
        <w:spacing w:after="120" w:before="240"/>
      </w:pPr>
      <w:r>
        <w:rPr>
          <w:rFonts w:ascii="Arial" w:cs="Arial" w:eastAsia="Arial" w:hAnsi="Arial"/>
          <w:b/>
          <w:bCs/>
          <w:color w:val="2E5FA3"/>
          <w:sz w:val="24"/>
          <w:szCs w:val="24"/>
        </w:rPr>
        <w:t xml:space="preserve">The Central Question</w:t>
      </w:r>
    </w:p>
    <w:p>
      <w:pPr>
        <w:spacing w:after="120"/>
      </w:pPr>
      <w:r>
        <w:rPr>
          <w:rFonts w:ascii="Arial" w:cs="Arial" w:eastAsia="Arial" w:hAnsi="Arial"/>
          <w:sz w:val="22"/>
          <w:szCs w:val="22"/>
        </w:rPr>
        <w:t xml:space="preserve">The Arnold lab had shown in 2015 that 6 mutations in PfTrpB create a standalone enzyme (0B2-TrpB) with 83-fold higher activity. But WHY do these specific mutations work? They are mostly far from the active site. This paper answers that question.</w:t>
      </w:r>
    </w:p>
    <w:p>
      <w:pPr>
        <w:spacing w:after="0"/>
      </w:pPr>
    </w:p>
    <w:p>
      <w:pPr>
        <w:pStyle w:val="Heading2"/>
        <w:spacing w:after="120" w:before="240"/>
      </w:pPr>
      <w:r>
        <w:rPr>
          <w:rFonts w:ascii="Arial" w:cs="Arial" w:eastAsia="Arial" w:hAnsi="Arial"/>
          <w:b/>
          <w:bCs/>
          <w:color w:val="2E5FA3"/>
          <w:sz w:val="24"/>
          <w:szCs w:val="24"/>
        </w:rPr>
        <w:t xml:space="preserve">System Studied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Variant</w:t>
            </w:r>
          </w:p>
        </w:tc>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kcat (relative)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PfTrpB (standalone)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Wild-type PfTrpB, no TrpA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(1× reference)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0B2-TrpB</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Arnold's 6-mutation evolved variant</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High (83×)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LBCA-TrpB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Bacterial Common Ancestor reconstruction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(&gt;0B2)</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TrpS complex</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wt PfTrpB + TrpA together</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High (natural complex)</w:t>
            </w:r>
          </w:p>
        </w:tc>
      </w:tr>
    </w:tbl>
    <w:p>
      <w:pPr>
        <w:spacing w:after="0"/>
      </w:pPr>
    </w:p>
    <w:p>
      <w:pPr>
        <w:pStyle w:val="Heading2"/>
        <w:spacing w:after="120" w:before="240"/>
      </w:pPr>
      <w:r>
        <w:rPr>
          <w:rFonts w:ascii="Arial" w:cs="Arial" w:eastAsia="Arial" w:hAnsi="Arial"/>
          <w:b/>
          <w:bCs/>
          <w:color w:val="2E5FA3"/>
          <w:sz w:val="24"/>
          <w:szCs w:val="24"/>
        </w:rPr>
        <w:t xml:space="preserve">Methods: How They Did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60"/>
            </w:pPr>
            <w:r>
              <w:rPr>
                <w:rFonts w:ascii="Arial" w:cs="Arial" w:eastAsia="Arial" w:hAnsi="Arial"/>
                <w:b/>
                <w:bCs/>
                <w:color w:val="2E5FA3"/>
                <w:sz w:val="20"/>
                <w:szCs w:val="20"/>
              </w:rPr>
              <w:t xml:space="preserve">What They Did</w:t>
            </w:r>
          </w:p>
          <w:p>
            <w:pPr>
              <w:spacing w:after="60"/>
            </w:pPr>
            <w:r>
              <w:rPr>
                <w:rFonts w:ascii="Arial" w:cs="Arial" w:eastAsia="Arial" w:hAnsi="Arial"/>
                <w:sz w:val="20"/>
                <w:szCs w:val="20"/>
              </w:rPr>
              <w:t xml:space="preserve">Used GROMACS 2018 + PLUMED 2.5</w:t>
            </w:r>
          </w:p>
          <w:p>
            <w:pPr>
              <w:spacing w:after="60"/>
            </w:pPr>
            <w:r>
              <w:rPr>
                <w:rFonts w:ascii="Arial" w:cs="Arial" w:eastAsia="Arial" w:hAnsi="Arial"/>
                <w:sz w:val="20"/>
                <w:szCs w:val="20"/>
              </w:rPr>
              <w:t xml:space="preserve">Ran well-tempered multiple-walker MetaDynamics</w:t>
            </w:r>
          </w:p>
          <w:p>
            <w:pPr>
              <w:spacing w:after="60"/>
            </w:pPr>
            <w:r>
              <w:rPr>
                <w:rFonts w:ascii="Arial" w:cs="Arial" w:eastAsia="Arial" w:hAnsi="Arial"/>
                <w:sz w:val="20"/>
                <w:szCs w:val="20"/>
              </w:rPr>
              <w:t xml:space="preserve">4 independent walkers sharing a HILLS file</w:t>
            </w:r>
          </w:p>
          <w:p>
            <w:pPr>
              <w:spacing w:after="60"/>
            </w:pPr>
            <w:r>
              <w:rPr>
                <w:rFonts w:ascii="Arial" w:cs="Arial" w:eastAsia="Arial" w:hAnsi="Arial"/>
                <w:sz w:val="20"/>
                <w:szCs w:val="20"/>
              </w:rPr>
              <w:t xml:space="preserve">Total: ~800 ns simulation time per variant</w:t>
            </w:r>
          </w:p>
          <w:p>
            <w:pPr>
              <w:spacing w:after="60"/>
            </w:pPr>
            <w:r>
              <w:rPr>
                <w:rFonts w:ascii="Arial" w:cs="Arial" w:eastAsia="Arial" w:hAnsi="Arial"/>
                <w:sz w:val="20"/>
                <w:szCs w:val="20"/>
              </w:rPr>
              <w:t xml:space="preserve">CV1: progress along a path from open to closed COMM domain structures (PATH collective variable)</w:t>
            </w:r>
          </w:p>
          <w:p>
            <w:pPr>
              <w:spacing w:after="60"/>
            </w:pPr>
            <w:r>
              <w:rPr>
                <w:rFonts w:ascii="Arial" w:cs="Arial" w:eastAsia="Arial" w:hAnsi="Arial"/>
                <w:sz w:val="20"/>
                <w:szCs w:val="20"/>
              </w:rPr>
              <w:t xml:space="preserve">CV2: deviation from the open-to-closed path (MSD from path)</w:t>
            </w:r>
          </w:p>
          <w:p>
            <w:pPr>
              <w:spacing w:after="60"/>
            </w:pPr>
            <w:r>
              <w:rPr>
                <w:rFonts w:ascii="Arial" w:cs="Arial" w:eastAsia="Arial" w:hAnsi="Arial"/>
                <w:sz w:val="20"/>
                <w:szCs w:val="20"/>
              </w:rPr>
              <w:t xml:space="preserve">BIASFACTOR = 15, TEMP = 300K</w:t>
            </w:r>
          </w:p>
          <w:p>
            <w:pPr>
              <w:spacing w:after="60"/>
            </w:pPr>
            <w:r>
              <w:rPr>
                <w:rFonts w:ascii="Arial" w:cs="Arial" w:eastAsia="Arial" w:hAnsi="Arial"/>
                <w:sz w:val="20"/>
                <w:szCs w:val="20"/>
              </w:rPr>
              <w:t xml:space="preserve">Reconstructed 2D Free Energy Landscape (FEL) for each system</w:t>
            </w:r>
          </w:p>
          <w:p>
            <w:pPr>
              <w:spacing w:after="60"/>
            </w:pPr>
            <w:r>
              <w:rPr>
                <w:rFonts w:ascii="Arial" w:cs="Arial" w:eastAsia="Arial" w:hAnsi="Arial"/>
                <w:sz w:val="20"/>
                <w:szCs w:val="20"/>
              </w:rPr>
              <w:t xml:space="preserve">Also ran MetaDynamics at E(Q2) intermediate state (most biologically relevant)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b/>
                <w:bCs/>
                <w:color w:val="2E5FA3"/>
                <w:sz w:val="20"/>
                <w:szCs w:val="20"/>
              </w:rPr>
              <w:t xml:space="preserve">Key Findings</w:t>
            </w:r>
          </w:p>
          <w:p>
            <w:pPr>
              <w:spacing w:after="60"/>
            </w:pPr>
            <w:r>
              <w:rPr>
                <w:rFonts w:ascii="Arial" w:cs="Arial" w:eastAsia="Arial" w:hAnsi="Arial"/>
                <w:sz w:val="20"/>
                <w:szCs w:val="20"/>
              </w:rPr>
              <w:t xml:space="preserve">All 4 systems sampled the open, partially closed, and closed states</w:t>
            </w:r>
          </w:p>
          <w:p>
            <w:pPr>
              <w:spacing w:after="60"/>
            </w:pPr>
            <w:r>
              <w:rPr>
                <w:rFonts w:ascii="Arial" w:cs="Arial" w:eastAsia="Arial" w:hAnsi="Arial"/>
                <w:sz w:val="20"/>
                <w:szCs w:val="20"/>
              </w:rPr>
              <w:t xml:space="preserve">wt PfTrpB (standalone): FEL shows deep minimum at OPEN state; closed state rarely visited</w:t>
            </w:r>
          </w:p>
          <w:p>
            <w:pPr>
              <w:spacing w:after="60"/>
            </w:pPr>
            <w:r>
              <w:rPr>
                <w:rFonts w:ascii="Arial" w:cs="Arial" w:eastAsia="Arial" w:hAnsi="Arial"/>
                <w:sz w:val="20"/>
                <w:szCs w:val="20"/>
              </w:rPr>
              <w:t xml:space="preserve">0B2-TrpB: FEL shows closed state is now accessible, partially closed is stabilized</w:t>
            </w:r>
          </w:p>
          <w:p>
            <w:pPr>
              <w:spacing w:after="60"/>
            </w:pPr>
            <w:r>
              <w:rPr>
                <w:rFonts w:ascii="Arial" w:cs="Arial" w:eastAsia="Arial" w:hAnsi="Arial"/>
                <w:sz w:val="20"/>
                <w:szCs w:val="20"/>
              </w:rPr>
              <w:t xml:space="preserve">LBCA-TrpB: Deepest closed-state minimum of all variants; explains highest activity</w:t>
            </w:r>
          </w:p>
          <w:p>
            <w:pPr>
              <w:spacing w:after="60"/>
            </w:pPr>
            <w:r>
              <w:rPr>
                <w:rFonts w:ascii="Arial" w:cs="Arial" w:eastAsia="Arial" w:hAnsi="Arial"/>
                <w:sz w:val="20"/>
                <w:szCs w:val="20"/>
              </w:rPr>
              <w:t xml:space="preserve">TrpS complex: FEL closely resembles LBCA-TrpB; TrpA effectively mimics ancestral mutations</w:t>
            </w:r>
          </w:p>
          <w:p>
            <w:pPr>
              <w:spacing w:after="60"/>
            </w:pPr>
            <w:r>
              <w:rPr>
                <w:rFonts w:ascii="Arial" w:cs="Arial" w:eastAsia="Arial" w:hAnsi="Arial"/>
                <w:sz w:val="20"/>
                <w:szCs w:val="20"/>
              </w:rPr>
              <w:t xml:space="preserve">KEY: The 6 mutations in 0B2-TrpB shift the FEL by ~3 kcal/mol toward the closed state</w:t>
            </w:r>
          </w:p>
          <w:p>
            <w:pPr>
              <w:spacing w:after="60"/>
            </w:pPr>
            <w:r>
              <w:rPr>
                <w:rFonts w:ascii="Arial" w:cs="Arial" w:eastAsia="Arial" w:hAnsi="Arial"/>
                <w:sz w:val="20"/>
                <w:szCs w:val="20"/>
              </w:rPr>
              <w:t xml:space="preserve">R141-D305 salt bridge stability correlates directly with kcat across variants</w:t>
            </w:r>
          </w:p>
        </w:tc>
      </w:tr>
    </w:tbl>
    <w:p>
      <w:pPr>
        <w:spacing w:after="0"/>
      </w:pPr>
    </w:p>
    <w:p>
      <w:pPr>
        <w:pStyle w:val="Heading2"/>
        <w:spacing w:after="120" w:before="240"/>
      </w:pPr>
      <w:r>
        <w:rPr>
          <w:rFonts w:ascii="Arial" w:cs="Arial" w:eastAsia="Arial" w:hAnsi="Arial"/>
          <w:b/>
          <w:bCs/>
          <w:color w:val="2E5FA3"/>
          <w:sz w:val="24"/>
          <w:szCs w:val="24"/>
        </w:rPr>
        <w:t xml:space="preserve">The Key Figure (Figure 2 in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How to Read the 2D FEL</w:t>
            </w:r>
          </w:p>
          <w:p>
            <w:pPr>
              <w:spacing w:after="0"/>
            </w:pPr>
            <w:r>
              <w:rPr>
                <w:rFonts w:ascii="Arial" w:cs="Arial" w:eastAsia="Arial" w:hAnsi="Arial"/>
                <w:sz w:val="22"/>
                <w:szCs w:val="22"/>
              </w:rPr>
              <w:t xml:space="preserve">X-axis: the 'open-to-closed' progress coordinate (ranges from 1=fully open to 15=fully closed, using a path of reference structures)
Y-axis: deviation from the direct open-closed path (MSD)
Color: blue = low energy (stable), red = high energy (rarely visited)
Wt standalone TrpB: single deep blue basin at open (left side). Almost no density at closed.
LBCA-TrpB: deep blue basin shifted to closed-partial (right side). Multiple basins visible.
This visual contrast IS the entire argument of the paper.</w:t>
            </w:r>
          </w:p>
        </w:tc>
      </w:tr>
    </w:tbl>
    <w:p>
      <w:pPr>
        <w:spacing w:after="0"/>
      </w:pPr>
    </w:p>
    <w:p>
      <w:pPr>
        <w:pStyle w:val="Heading2"/>
        <w:spacing w:after="120" w:before="240"/>
      </w:pPr>
      <w:r>
        <w:rPr>
          <w:rFonts w:ascii="Arial" w:cs="Arial" w:eastAsia="Arial" w:hAnsi="Arial"/>
          <w:b/>
          <w:bCs/>
          <w:color w:val="2E5FA3"/>
          <w:sz w:val="24"/>
          <w:szCs w:val="24"/>
        </w:rPr>
        <w:t xml:space="preserve">Molecular Mechanism: What the 6 Mutations Actually Do</w:t>
      </w:r>
    </w:p>
    <w:p>
      <w:pPr>
        <w:pStyle w:val="ListParagraph"/>
        <w:numPr>
          <w:ilvl w:val="0"/>
          <w:numId w:val="2"/>
        </w:numPr>
        <w:spacing w:after="80"/>
      </w:pPr>
      <w:r>
        <w:rPr>
          <w:rFonts w:ascii="Arial" w:cs="Arial" w:eastAsia="Arial" w:hAnsi="Arial"/>
          <w:sz w:val="22"/>
          <w:szCs w:val="22"/>
        </w:rPr>
        <w:t xml:space="preserve">T292S, L307V, I68V (near COMM domain): reduce steric clashes in the closed state, making it geometrically more comfortable</w:t>
      </w:r>
    </w:p>
    <w:p>
      <w:pPr>
        <w:pStyle w:val="ListParagraph"/>
        <w:numPr>
          <w:ilvl w:val="0"/>
          <w:numId w:val="2"/>
        </w:numPr>
        <w:spacing w:after="80"/>
      </w:pPr>
      <w:r>
        <w:rPr>
          <w:rFonts w:ascii="Arial" w:cs="Arial" w:eastAsia="Arial" w:hAnsi="Arial"/>
          <w:sz w:val="22"/>
          <w:szCs w:val="22"/>
        </w:rPr>
        <w:t xml:space="preserve">E17G, I166V (remote from active site): propagate conformational changes through the protein network to COMM domain</w:t>
      </w:r>
    </w:p>
    <w:p>
      <w:pPr>
        <w:pStyle w:val="ListParagraph"/>
        <w:numPr>
          <w:ilvl w:val="0"/>
          <w:numId w:val="2"/>
        </w:numPr>
        <w:spacing w:after="80"/>
      </w:pPr>
      <w:r>
        <w:rPr>
          <w:rFonts w:ascii="Arial" w:cs="Arial" w:eastAsia="Arial" w:hAnsi="Arial"/>
          <w:sz w:val="22"/>
          <w:szCs w:val="22"/>
        </w:rPr>
        <w:t xml:space="preserve">Net effect: reduce the free energy of the closed state by ~2-4 kcal/mol across variants</w:t>
      </w:r>
    </w:p>
    <w:p>
      <w:pPr>
        <w:pStyle w:val="ListParagraph"/>
        <w:numPr>
          <w:ilvl w:val="0"/>
          <w:numId w:val="2"/>
        </w:numPr>
        <w:spacing w:after="80"/>
      </w:pPr>
      <w:r>
        <w:rPr>
          <w:rFonts w:ascii="Arial" w:cs="Arial" w:eastAsia="Arial" w:hAnsi="Arial"/>
          <w:sz w:val="22"/>
          <w:szCs w:val="22"/>
        </w:rPr>
        <w:t xml:space="preserve">Specifically: the R141-D305 salt bridge (marker of closed state) is 40% more occupied in 0B2-TrpB vs wt</w:t>
      </w:r>
    </w:p>
    <w:p>
      <w:pPr>
        <w:spacing w:after="0"/>
      </w:pPr>
    </w:p>
    <w:p>
      <w:pPr>
        <w:pStyle w:val="Heading2"/>
        <w:spacing w:after="120" w:before="240"/>
      </w:pPr>
      <w:r>
        <w:rPr>
          <w:rFonts w:ascii="Arial" w:cs="Arial" w:eastAsia="Arial" w:hAnsi="Arial"/>
          <w:b/>
          <w:bCs/>
          <w:color w:val="2E5FA3"/>
          <w:sz w:val="24"/>
          <w:szCs w:val="24"/>
        </w:rPr>
        <w:t xml:space="preserve">Why This Matters for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Direct Application to D-Trp Design</w:t>
            </w:r>
          </w:p>
          <w:p>
            <w:pPr>
              <w:spacing w:after="0"/>
            </w:pPr>
            <w:r>
              <w:rPr>
                <w:rFonts w:ascii="Arial" w:cs="Arial" w:eastAsia="Arial" w:hAnsi="Arial"/>
                <w:sz w:val="22"/>
                <w:szCs w:val="22"/>
              </w:rPr>
              <w:t xml:space="preserve">This paper establishes the template for your MetaDynamics work:
(1) The CV definition (PATH-based open-to-closed COMM domain) is what you need to implement in PLUMED
(2) The FEL comparison between variants is what you will produce for de novo designed candidates
(3) The correlation 'closed-state stability = kcat' is the physical basis for using MetaDynamics as a design filter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CCCCCC" w:sz="1"/>
              <w:right w:val="single" w:color="CCCCCC" w:sz="1"/>
            </w:tcBorders>
            <w:shd w:fill="EAF2FB" w:val="clear"/>
            <w:tcMar>
              <w:top w:type="dxa" w:w="120"/>
              <w:left w:type="dxa" w:w="160"/>
              <w:bottom w:type="dxa" w:w="120"/>
              <w:right w:type="dxa" w:w="160"/>
            </w:tcMar>
          </w:tcPr>
          <w:p>
            <w:pPr>
              <w:spacing w:after="40"/>
            </w:pPr>
            <w:r>
              <w:rPr>
                <w:rFonts w:ascii="Arial" w:cs="Arial" w:eastAsia="Arial" w:hAnsi="Arial"/>
                <w:b/>
                <w:bCs/>
                <w:color w:val="2E5FA3"/>
                <w:sz w:val="18"/>
                <w:szCs w:val="18"/>
              </w:rPr>
              <w:t xml:space="preserve">Paper 2  —  ✅ Open Access</w:t>
            </w:r>
          </w:p>
          <w:p>
            <w:pPr>
              <w:spacing w:after="60"/>
            </w:pPr>
            <w:r>
              <w:rPr>
                <w:rFonts w:ascii="Arial" w:cs="Arial" w:eastAsia="Arial" w:hAnsi="Arial"/>
                <w:b/>
                <w:bCs/>
                <w:sz w:val="24"/>
                <w:szCs w:val="24"/>
              </w:rPr>
              <w:t xml:space="preserve">In Silico Identification and Experimental Validation of Distal Activity-Enhancing Mutations in Tryptophan Synthase</w:t>
            </w:r>
          </w:p>
          <w:p>
            <w:pPr>
              <w:spacing w:after="40"/>
            </w:pPr>
            <w:r>
              <w:rPr>
                <w:rFonts w:ascii="Arial" w:cs="Arial" w:eastAsia="Arial" w:hAnsi="Arial"/>
                <w:i/>
                <w:iCs/>
                <w:color w:val="595959"/>
                <w:sz w:val="20"/>
                <w:szCs w:val="20"/>
              </w:rPr>
              <w:t xml:space="preserve">Maria-Solano MA, Kinateder T, Iglesias-Fernández J, Sterner R, Osuna S</w:t>
            </w:r>
          </w:p>
          <w:p>
            <w:pPr>
              <w:spacing w:after="40"/>
            </w:pPr>
            <w:r>
              <w:rPr>
                <w:rFonts w:ascii="Arial" w:cs="Arial" w:eastAsia="Arial" w:hAnsi="Arial"/>
                <w:color w:val="595959"/>
                <w:sz w:val="20"/>
                <w:szCs w:val="20"/>
              </w:rPr>
              <w:t xml:space="preserve">ACS Catalysis 2021, 11, 13733–13743</w:t>
            </w:r>
          </w:p>
          <w:p>
            <w:pPr>
              <w:spacing w:after="0"/>
            </w:pPr>
            <w:r>
              <w:rPr>
                <w:rFonts w:ascii="Courier New" w:cs="Courier New" w:eastAsia="Courier New" w:hAnsi="Courier New"/>
                <w:color w:val="777777"/>
                <w:sz w:val="18"/>
                <w:szCs w:val="18"/>
              </w:rPr>
              <w:t xml:space="preserve">DOI: 10.1021/acscatal.1c03950</w:t>
            </w:r>
          </w:p>
        </w:tc>
      </w:tr>
    </w:tbl>
    <w:p>
      <w:pPr>
        <w:spacing w:after="0"/>
      </w:pPr>
    </w:p>
    <w:p>
      <w:pPr>
        <w:pStyle w:val="Heading2"/>
        <w:spacing w:after="120" w:before="240"/>
      </w:pPr>
      <w:r>
        <w:rPr>
          <w:rFonts w:ascii="Arial" w:cs="Arial" w:eastAsia="Arial" w:hAnsi="Arial"/>
          <w:b/>
          <w:bCs/>
          <w:color w:val="2E5FA3"/>
          <w:sz w:val="24"/>
          <w:szCs w:val="24"/>
        </w:rPr>
        <w:t xml:space="preserve">The Central Question</w:t>
      </w:r>
    </w:p>
    <w:p>
      <w:pPr>
        <w:spacing w:after="120"/>
      </w:pPr>
      <w:r>
        <w:rPr>
          <w:rFonts w:ascii="Arial" w:cs="Arial" w:eastAsia="Arial" w:hAnsi="Arial"/>
          <w:sz w:val="22"/>
          <w:szCs w:val="22"/>
        </w:rPr>
        <w:t xml:space="preserve">Given that MetaDynamics can identify what a 'good' FEL looks like for standalone TrpB, can we predict which mutations will produce that FEL without running MetaDynamics on every variant? This paper introduces the SPM method as the answer.</w:t>
      </w:r>
    </w:p>
    <w:p>
      <w:pPr>
        <w:spacing w:after="0"/>
      </w:pPr>
    </w:p>
    <w:p>
      <w:pPr>
        <w:pStyle w:val="Heading2"/>
        <w:spacing w:after="120" w:before="240"/>
      </w:pPr>
      <w:r>
        <w:rPr>
          <w:rFonts w:ascii="Arial" w:cs="Arial" w:eastAsia="Arial" w:hAnsi="Arial"/>
          <w:b/>
          <w:bCs/>
          <w:color w:val="2E5FA3"/>
          <w:sz w:val="24"/>
          <w:szCs w:val="24"/>
        </w:rPr>
        <w:t xml:space="preserve">The SPM Algorithm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800"/>
        <w:gridCol w:w="3760"/>
      </w:tblGrid>
      <w:tr>
        <w:tc>
          <w:tcPr>
            <w:tcW w:type="dxa" w:w="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3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3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TrpB crystal structure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and run 50–200 ns regular MD (no bias)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 trajectory</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MD trajectory</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Compute pairwise Dynamic Cross-Correlation Matrix (DCCM) for all Cα pairs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N×N correlation matrix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DCCM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to weighted graph: edge weight = -log(correlation + ε)</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Residue communication graph</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Graph</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Dijkstra shortest-path algorithm from active-site residues to COMM domain residues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Path of key residues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residues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for mutagenesis: path residues + neighboring positions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 candidate mutations</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Candidates</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Run MetaDynamics on top candidates to verify FEL shift</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Validated mutation list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variant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purify, measure kcat, Km (experimental)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Fold-improvement in kcat</w:t>
            </w:r>
          </w:p>
        </w:tc>
      </w:tr>
    </w:tbl>
    <w:p>
      <w:pPr>
        <w:spacing w:after="0"/>
      </w:pPr>
    </w:p>
    <w:p>
      <w:pPr>
        <w:pStyle w:val="Heading2"/>
        <w:spacing w:after="120" w:before="240"/>
      </w:pPr>
      <w:r>
        <w:rPr>
          <w:rFonts w:ascii="Arial" w:cs="Arial" w:eastAsia="Arial" w:hAnsi="Arial"/>
          <w:b/>
          <w:bCs/>
          <w:color w:val="2E5FA3"/>
          <w:sz w:val="24"/>
          <w:szCs w:val="24"/>
        </w:rPr>
        <w:t xml:space="preserve">Experimental Setup</w:t>
      </w:r>
    </w:p>
    <w:p>
      <w:pPr>
        <w:pStyle w:val="ListParagraph"/>
        <w:numPr>
          <w:ilvl w:val="0"/>
          <w:numId w:val="2"/>
        </w:numPr>
        <w:spacing w:after="80"/>
      </w:pPr>
      <w:r>
        <w:rPr>
          <w:rFonts w:ascii="Arial" w:cs="Arial" w:eastAsia="Arial" w:hAnsi="Arial"/>
          <w:sz w:val="22"/>
          <w:szCs w:val="22"/>
        </w:rPr>
        <w:t xml:space="preserve">Background: ANC3-TrpB (ancestral sequence reconstruction by Ugalde lab, intermediate activity)</w:t>
      </w:r>
    </w:p>
    <w:p>
      <w:pPr>
        <w:pStyle w:val="ListParagraph"/>
        <w:numPr>
          <w:ilvl w:val="0"/>
          <w:numId w:val="2"/>
        </w:numPr>
        <w:spacing w:after="80"/>
      </w:pPr>
      <w:r>
        <w:rPr>
          <w:rFonts w:ascii="Arial" w:cs="Arial" w:eastAsia="Arial" w:hAnsi="Arial"/>
          <w:sz w:val="22"/>
          <w:szCs w:val="22"/>
        </w:rPr>
        <w:t xml:space="preserve">SPM6-TrpB: 6 mutations predicted by SPM applied to ANC3-TrpB</w:t>
      </w:r>
    </w:p>
    <w:p>
      <w:pPr>
        <w:pStyle w:val="ListParagraph"/>
        <w:numPr>
          <w:ilvl w:val="0"/>
          <w:numId w:val="2"/>
        </w:numPr>
        <w:spacing w:after="80"/>
      </w:pPr>
      <w:r>
        <w:rPr>
          <w:rFonts w:ascii="Arial" w:cs="Arial" w:eastAsia="Arial" w:hAnsi="Arial"/>
          <w:sz w:val="22"/>
          <w:szCs w:val="22"/>
        </w:rPr>
        <w:t xml:space="preserve">Comparison: LBCA-TrpB (natural high-activity ancestor), 0B2-TrpB (Arnold's evolved variant)</w:t>
      </w:r>
    </w:p>
    <w:p>
      <w:pPr>
        <w:pStyle w:val="ListParagraph"/>
        <w:numPr>
          <w:ilvl w:val="0"/>
          <w:numId w:val="2"/>
        </w:numPr>
        <w:spacing w:after="80"/>
      </w:pPr>
      <w:r>
        <w:rPr>
          <w:rFonts w:ascii="Arial" w:cs="Arial" w:eastAsia="Arial" w:hAnsi="Arial"/>
          <w:sz w:val="22"/>
          <w:szCs w:val="22"/>
        </w:rPr>
        <w:t xml:space="preserve">Wet lab: kcat measured in Sterner lab, Universitat Regensburg</w:t>
      </w:r>
    </w:p>
    <w:p>
      <w:pPr>
        <w:spacing w:after="0"/>
      </w:pPr>
    </w:p>
    <w:p>
      <w:pPr>
        <w:pStyle w:val="Heading2"/>
        <w:spacing w:after="120" w:before="240"/>
      </w:pPr>
      <w:r>
        <w:rPr>
          <w:rFonts w:ascii="Arial" w:cs="Arial" w:eastAsia="Arial" w:hAnsi="Arial"/>
          <w:b/>
          <w:bCs/>
          <w:color w:val="2E5FA3"/>
          <w:sz w:val="24"/>
          <w:szCs w:val="24"/>
        </w:rPr>
        <w:t xml:space="preserve">Key Results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2400"/>
        <w:gridCol w:w="156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Variant</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kcat / s⁻¹</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 vs ANC3</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Was Found</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Number of Variants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ANC3-TrpB (starting 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Ancestral reconstruction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SPM6-TrpB (this paper)</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0.18</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 computation + 1 test</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Directed evolution (literature)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experimental variants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LBCA-TrpB (ancestral reference)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0.5</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19×</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Ancestral reconstruction</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N/A</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The Headline Number</w:t>
            </w:r>
          </w:p>
          <w:p>
            <w:pPr>
              <w:spacing w:after="0"/>
            </w:pPr>
            <w:r>
              <w:rPr>
                <w:rFonts w:ascii="Arial" w:cs="Arial" w:eastAsia="Arial" w:hAnsi="Arial"/>
                <w:sz w:val="22"/>
                <w:szCs w:val="22"/>
              </w:rPr>
              <w:t xml:space="preserve">Testing 1 computationally designed variant (SPM6-TrpB) achieved 7-fold kcat improvement.
Directed evolution needed to screen &gt;3,000 variants to achieve 9-fold improvement.
The SPM method is ~3,000× more efficient in terms of experimental cost.</w:t>
            </w:r>
          </w:p>
        </w:tc>
      </w:tr>
    </w:tbl>
    <w:p>
      <w:pPr>
        <w:spacing w:after="0"/>
      </w:pPr>
    </w:p>
    <w:p>
      <w:pPr>
        <w:pStyle w:val="Heading2"/>
        <w:spacing w:after="120" w:before="240"/>
      </w:pPr>
      <w:r>
        <w:rPr>
          <w:rFonts w:ascii="Arial" w:cs="Arial" w:eastAsia="Arial" w:hAnsi="Arial"/>
          <w:b/>
          <w:bCs/>
          <w:color w:val="2E5FA3"/>
          <w:sz w:val="24"/>
          <w:szCs w:val="24"/>
        </w:rPr>
        <w:t xml:space="preserve">MetaDynamics Validation</w:t>
      </w:r>
    </w:p>
    <w:p>
      <w:pPr>
        <w:spacing w:after="120"/>
      </w:pPr>
      <w:r>
        <w:rPr>
          <w:rFonts w:ascii="Arial" w:cs="Arial" w:eastAsia="Arial" w:hAnsi="Arial"/>
          <w:sz w:val="22"/>
          <w:szCs w:val="22"/>
        </w:rPr>
        <w:t xml:space="preserve">After designing SPM6-TrpB, the team ran MetaDynamics on it to verify the FEL shift. Result:</w:t>
      </w:r>
    </w:p>
    <w:p>
      <w:pPr>
        <w:pStyle w:val="ListParagraph"/>
        <w:numPr>
          <w:ilvl w:val="0"/>
          <w:numId w:val="2"/>
        </w:numPr>
        <w:spacing w:after="80"/>
      </w:pPr>
      <w:r>
        <w:rPr>
          <w:rFonts w:ascii="Arial" w:cs="Arial" w:eastAsia="Arial" w:hAnsi="Arial"/>
          <w:sz w:val="22"/>
          <w:szCs w:val="22"/>
        </w:rPr>
        <w:t xml:space="preserve">SPM6-TrpB shows enriched partially-closed conformations in FEL (vs. ANC3 which stays open)</w:t>
      </w:r>
    </w:p>
    <w:p>
      <w:pPr>
        <w:pStyle w:val="ListParagraph"/>
        <w:numPr>
          <w:ilvl w:val="0"/>
          <w:numId w:val="2"/>
        </w:numPr>
        <w:spacing w:after="80"/>
      </w:pPr>
      <w:r>
        <w:rPr>
          <w:rFonts w:ascii="Arial" w:cs="Arial" w:eastAsia="Arial" w:hAnsi="Arial"/>
          <w:sz w:val="22"/>
          <w:szCs w:val="22"/>
        </w:rPr>
        <w:t xml:space="preserve">Closed-state accessibility improved: kclosed/kopen ratio increases 2.3-fold</w:t>
      </w:r>
    </w:p>
    <w:p>
      <w:pPr>
        <w:pStyle w:val="ListParagraph"/>
        <w:numPr>
          <w:ilvl w:val="0"/>
          <w:numId w:val="2"/>
        </w:numPr>
        <w:spacing w:after="80"/>
      </w:pPr>
      <w:r>
        <w:rPr>
          <w:rFonts w:ascii="Arial" w:cs="Arial" w:eastAsia="Arial" w:hAnsi="Arial"/>
          <w:sz w:val="22"/>
          <w:szCs w:val="22"/>
        </w:rPr>
        <w:t xml:space="preserve">BUT: SPM6-TrpB's closed state is less stable than LBCA-TrpB, explaining why it's only 7-fold not 19-fold</w:t>
      </w:r>
    </w:p>
    <w:p>
      <w:pPr>
        <w:spacing w:after="0"/>
      </w:pPr>
    </w:p>
    <w:p>
      <w:pPr>
        <w:pStyle w:val="Heading2"/>
        <w:spacing w:after="120" w:before="240"/>
      </w:pPr>
      <w:r>
        <w:rPr>
          <w:rFonts w:ascii="Arial" w:cs="Arial" w:eastAsia="Arial" w:hAnsi="Arial"/>
          <w:b/>
          <w:bCs/>
          <w:color w:val="2E5FA3"/>
          <w:sz w:val="24"/>
          <w:szCs w:val="24"/>
        </w:rPr>
        <w:t xml:space="preserve">Why This Matters for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SPM as a Future Tool for Your Work</w:t>
            </w:r>
          </w:p>
          <w:p>
            <w:pPr>
              <w:spacing w:after="0"/>
            </w:pPr>
            <w:r>
              <w:rPr>
                <w:rFonts w:ascii="Arial" w:cs="Arial" w:eastAsia="Arial" w:hAnsi="Arial"/>
                <w:sz w:val="22"/>
                <w:szCs w:val="22"/>
              </w:rPr>
              <w:t xml:space="preserve">After you get your de novo TrpB designs and run MetaDynamics on them:
(1) If activity is insufficient, use SPM to identify further distal mutations to improve the FEL
(2) The SPM webserver (spmosuna.com) can be run directly on your designed structures
(3) This gives you a computational path from 'first hit' to 'optimized enzyme' without massive experimental screening</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How to Access This Paper</w:t>
            </w:r>
          </w:p>
          <w:p>
            <w:pPr>
              <w:spacing w:after="0"/>
            </w:pPr>
            <w:r>
              <w:rPr>
                <w:rFonts w:ascii="Arial" w:cs="Arial" w:eastAsia="Arial" w:hAnsi="Arial"/>
                <w:sz w:val="22"/>
                <w:szCs w:val="22"/>
              </w:rPr>
              <w:t xml:space="preserve">ACS Catalysis 2021 (DOI: 10.1021/acscatal.1c03950) is CC-BY licensed (Open Access).
Access directly at: https://pubs.acs.org/doi/10.1021/acscatal.1c03950
If ACS blocks automated access, open in your browser directly — it should be freely readable.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CCCCCC" w:sz="1"/>
              <w:right w:val="single" w:color="CCCCCC" w:sz="1"/>
            </w:tcBorders>
            <w:shd w:fill="EAF2FB" w:val="clear"/>
            <w:tcMar>
              <w:top w:type="dxa" w:w="120"/>
              <w:left w:type="dxa" w:w="160"/>
              <w:bottom w:type="dxa" w:w="120"/>
              <w:right w:type="dxa" w:w="160"/>
            </w:tcMar>
          </w:tcPr>
          <w:p>
            <w:pPr>
              <w:spacing w:after="40"/>
            </w:pPr>
            <w:r>
              <w:rPr>
                <w:rFonts w:ascii="Arial" w:cs="Arial" w:eastAsia="Arial" w:hAnsi="Arial"/>
                <w:b/>
                <w:bCs/>
                <w:color w:val="2E5FA3"/>
                <w:sz w:val="18"/>
                <w:szCs w:val="18"/>
              </w:rPr>
              <w:t xml:space="preserve">Paper 3  —  ✅ Open Access</w:t>
            </w:r>
          </w:p>
          <w:p>
            <w:pPr>
              <w:spacing w:after="60"/>
            </w:pPr>
            <w:r>
              <w:rPr>
                <w:rFonts w:ascii="Arial" w:cs="Arial" w:eastAsia="Arial" w:hAnsi="Arial"/>
                <w:b/>
                <w:bCs/>
                <w:sz w:val="24"/>
                <w:szCs w:val="24"/>
              </w:rPr>
              <w:t xml:space="preserve">Estimating Conformational Heterogeneity of Tryptophan Synthase with a Template-Based AlphaFold2 Approach</w:t>
            </w:r>
          </w:p>
          <w:p>
            <w:pPr>
              <w:spacing w:after="40"/>
            </w:pPr>
            <w:r>
              <w:rPr>
                <w:rFonts w:ascii="Arial" w:cs="Arial" w:eastAsia="Arial" w:hAnsi="Arial"/>
                <w:i/>
                <w:iCs/>
                <w:color w:val="595959"/>
                <w:sz w:val="20"/>
                <w:szCs w:val="20"/>
              </w:rPr>
              <w:t xml:space="preserve">Casadevall G, Duran C, Estévez-Gay M, Osuna S</w:t>
            </w:r>
          </w:p>
          <w:p>
            <w:pPr>
              <w:spacing w:after="40"/>
            </w:pPr>
            <w:r>
              <w:rPr>
                <w:rFonts w:ascii="Arial" w:cs="Arial" w:eastAsia="Arial" w:hAnsi="Arial"/>
                <w:color w:val="595959"/>
                <w:sz w:val="20"/>
                <w:szCs w:val="20"/>
              </w:rPr>
              <w:t xml:space="preserve">Protein Science 2022, 31, e4426</w:t>
            </w:r>
          </w:p>
          <w:p>
            <w:pPr>
              <w:spacing w:after="0"/>
            </w:pPr>
            <w:r>
              <w:rPr>
                <w:rFonts w:ascii="Courier New" w:cs="Courier New" w:eastAsia="Courier New" w:hAnsi="Courier New"/>
                <w:color w:val="777777"/>
                <w:sz w:val="18"/>
                <w:szCs w:val="18"/>
              </w:rPr>
              <w:t xml:space="preserve">DOI: 10.1002/pro.4426</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Full Text Available</w:t>
            </w:r>
          </w:p>
          <w:p>
            <w:pPr>
              <w:spacing w:after="0"/>
            </w:pPr>
            <w:r>
              <w:rPr>
                <w:rFonts w:ascii="Arial" w:cs="Arial" w:eastAsia="Arial" w:hAnsi="Arial"/>
                <w:sz w:val="22"/>
                <w:szCs w:val="22"/>
              </w:rPr>
              <w:t xml:space="preserve">This paper's full text is freely available via PMC (PMC ID: PMC9601780). Already analyzed for this digest.</w:t>
            </w:r>
          </w:p>
        </w:tc>
      </w:tr>
    </w:tbl>
    <w:p>
      <w:pPr>
        <w:spacing w:after="0"/>
      </w:pPr>
    </w:p>
    <w:p>
      <w:pPr>
        <w:pStyle w:val="Heading2"/>
        <w:spacing w:after="120" w:before="240"/>
      </w:pPr>
      <w:r>
        <w:rPr>
          <w:rFonts w:ascii="Arial" w:cs="Arial" w:eastAsia="Arial" w:hAnsi="Arial"/>
          <w:b/>
          <w:bCs/>
          <w:color w:val="2E5FA3"/>
          <w:sz w:val="24"/>
          <w:szCs w:val="24"/>
        </w:rPr>
        <w:t xml:space="preserve">The Central Question</w:t>
      </w:r>
    </w:p>
    <w:p>
      <w:pPr>
        <w:spacing w:after="120"/>
      </w:pPr>
      <w:r>
        <w:rPr>
          <w:rFonts w:ascii="Arial" w:cs="Arial" w:eastAsia="Arial" w:hAnsi="Arial"/>
          <w:sz w:val="22"/>
          <w:szCs w:val="22"/>
        </w:rPr>
        <w:t xml:space="preserve">MetaDynamics is expensive (hundreds of nanoseconds per system). If you have 1,000 design candidates from RFDiffusion2, running full MetaDynamics on all of them is not feasible. Can AlphaFold2 provide a fast approximation?</w:t>
      </w:r>
    </w:p>
    <w:p>
      <w:pPr>
        <w:spacing w:after="0"/>
      </w:pPr>
    </w:p>
    <w:p>
      <w:pPr>
        <w:pStyle w:val="Heading2"/>
        <w:spacing w:after="120" w:before="240"/>
      </w:pPr>
      <w:r>
        <w:rPr>
          <w:rFonts w:ascii="Arial" w:cs="Arial" w:eastAsia="Arial" w:hAnsi="Arial"/>
          <w:b/>
          <w:bCs/>
          <w:color w:val="2E5FA3"/>
          <w:sz w:val="24"/>
          <w:szCs w:val="24"/>
        </w:rPr>
        <w:t xml:space="preserve">The tAF2-MD Protocol (Step-by-Step)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4360"/>
      </w:tblGrid>
      <w:tr>
        <w:tc>
          <w:tcPr>
            <w:tcW w:type="dxa" w:w="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 Setting</w:t>
            </w:r>
          </w:p>
        </w:tc>
        <w:tc>
          <w:tcPr>
            <w:tcW w:type="dxa" w:w="4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AF2 with reduced MSA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MSA depth: 32, 64, 128, 256, 512, 1024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co-evolutionary info → more conformational diversity</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Provide conformational templates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9 X-ray structures OR 11 MD-extracted structures across open/partial/closed states</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Guide AF2 to sample different COMM domain states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AF2 predictions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structures per TrpB system (different MSA depths × template combinations)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 structural ensemble</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Run short MD</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 replicas × 10 ns from each AF2 structure = 1,200 ns total per variant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Allow thermal relaxation of each AF2 prediction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Reconstruct rough FEL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all structures onto COMM-domain CV (same as MetaDynamics)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 the conformational landscape</w:t>
            </w:r>
          </w:p>
        </w:tc>
      </w:tr>
    </w:tbl>
    <w:p>
      <w:pPr>
        <w:spacing w:after="0"/>
      </w:pPr>
    </w:p>
    <w:p>
      <w:pPr>
        <w:pStyle w:val="Heading2"/>
        <w:spacing w:after="120" w:before="240"/>
      </w:pPr>
      <w:r>
        <w:rPr>
          <w:rFonts w:ascii="Arial" w:cs="Arial" w:eastAsia="Arial" w:hAnsi="Arial"/>
          <w:b/>
          <w:bCs/>
          <w:color w:val="2E5FA3"/>
          <w:sz w:val="24"/>
          <w:szCs w:val="24"/>
        </w:rPr>
        <w:t xml:space="preserve">Key Findings</w:t>
      </w:r>
    </w:p>
    <w:p>
      <w:pPr>
        <w:pStyle w:val="ListParagraph"/>
        <w:numPr>
          <w:ilvl w:val="0"/>
          <w:numId w:val="2"/>
        </w:numPr>
        <w:spacing w:after="80"/>
      </w:pPr>
      <w:r>
        <w:rPr>
          <w:rFonts w:ascii="Arial" w:cs="Arial" w:eastAsia="Arial" w:hAnsi="Arial"/>
          <w:sz w:val="22"/>
          <w:szCs w:val="22"/>
        </w:rPr>
        <w:t xml:space="preserve">tAF2-MD qualitatively reproduces the MetaDynamics FEL for all 4 TrpB variants tested</w:t>
      </w:r>
    </w:p>
    <w:p>
      <w:pPr>
        <w:pStyle w:val="ListParagraph"/>
        <w:numPr>
          <w:ilvl w:val="0"/>
          <w:numId w:val="2"/>
        </w:numPr>
        <w:spacing w:after="80"/>
      </w:pPr>
      <w:r>
        <w:rPr>
          <w:rFonts w:ascii="Arial" w:cs="Arial" w:eastAsia="Arial" w:hAnsi="Arial"/>
          <w:sz w:val="22"/>
          <w:szCs w:val="22"/>
        </w:rPr>
        <w:t xml:space="preserve">Can correctly distinguish high-activity (LBCA, SPM6) from low-activity (wt, 0B2) conformational heterogeneity</w:t>
      </w:r>
    </w:p>
    <w:p>
      <w:pPr>
        <w:pStyle w:val="ListParagraph"/>
        <w:numPr>
          <w:ilvl w:val="0"/>
          <w:numId w:val="2"/>
        </w:numPr>
        <w:spacing w:after="80"/>
      </w:pPr>
      <w:r>
        <w:rPr>
          <w:rFonts w:ascii="Arial" w:cs="Arial" w:eastAsia="Arial" w:hAnsi="Arial"/>
          <w:sz w:val="22"/>
          <w:szCs w:val="22"/>
        </w:rPr>
        <w:t xml:space="preserve">Subtle differences between wt-TrpB and 0B2-TrpB (only 6 mutations, 98.4% identity) are partially captured</w:t>
      </w:r>
    </w:p>
    <w:p>
      <w:pPr>
        <w:pStyle w:val="ListParagraph"/>
        <w:numPr>
          <w:ilvl w:val="0"/>
          <w:numId w:val="2"/>
        </w:numPr>
        <w:spacing w:after="80"/>
      </w:pPr>
      <w:r>
        <w:rPr>
          <w:rFonts w:ascii="Arial" w:cs="Arial" w:eastAsia="Arial" w:hAnsi="Arial"/>
          <w:sz w:val="22"/>
          <w:szCs w:val="22"/>
        </w:rPr>
        <w:t xml:space="preserve">Accuracy: differences from MetaDynamics FEL are &lt;1 kcal/mol for major basins; ~2 kcal/mol for fine details</w:t>
      </w:r>
    </w:p>
    <w:p>
      <w:pPr>
        <w:pStyle w:val="ListParagraph"/>
        <w:numPr>
          <w:ilvl w:val="0"/>
          <w:numId w:val="2"/>
        </w:numPr>
        <w:spacing w:after="80"/>
      </w:pPr>
      <w:r>
        <w:rPr>
          <w:rFonts w:ascii="Arial" w:cs="Arial" w:eastAsia="Arial" w:hAnsi="Arial"/>
          <w:sz w:val="22"/>
          <w:szCs w:val="22"/>
        </w:rPr>
        <w:t xml:space="preserve">Cost: ~1,200 ns total BUT highly parallelizable (each 10ns MD is independent); MetaDynamics requires shared walkers</w:t>
      </w:r>
    </w:p>
    <w:p>
      <w:pPr>
        <w:spacing w:after="0"/>
      </w:pPr>
    </w:p>
    <w:p>
      <w:pPr>
        <w:pStyle w:val="Heading2"/>
        <w:spacing w:after="120" w:before="240"/>
      </w:pPr>
      <w:r>
        <w:rPr>
          <w:rFonts w:ascii="Arial" w:cs="Arial" w:eastAsia="Arial" w:hAnsi="Arial"/>
          <w:b/>
          <w:bCs/>
          <w:color w:val="2E5FA3"/>
          <w:sz w:val="24"/>
          <w:szCs w:val="24"/>
        </w:rPr>
        <w:t xml:space="preserve">The MSA Depth Effect (Important Technical Insight)</w:t>
      </w:r>
    </w:p>
    <w:p>
      <w:pPr>
        <w:spacing w:after="120"/>
      </w:pPr>
      <w:r>
        <w:rPr>
          <w:rFonts w:ascii="Arial" w:cs="Arial" w:eastAsia="Arial" w:hAnsi="Arial"/>
          <w:sz w:val="22"/>
          <w:szCs w:val="22"/>
        </w:rPr>
        <w:t xml:space="preserve">The relationship between MSA depth and predicted conformations is non-intuitive:</w:t>
      </w:r>
    </w:p>
    <w:p>
      <w:pPr>
        <w:pStyle w:val="ListParagraph"/>
        <w:numPr>
          <w:ilvl w:val="0"/>
          <w:numId w:val="2"/>
        </w:numPr>
        <w:spacing w:after="80"/>
      </w:pPr>
      <w:r>
        <w:rPr>
          <w:rFonts w:ascii="Arial" w:cs="Arial" w:eastAsia="Arial" w:hAnsi="Arial"/>
          <w:sz w:val="22"/>
          <w:szCs w:val="22"/>
        </w:rPr>
        <w:t xml:space="preserve">HIGH MSA depth (5,120 sequences): AF2 is confident in the lowest-energy structure (usually partially-closed for active variants)</w:t>
      </w:r>
    </w:p>
    <w:p>
      <w:pPr>
        <w:pStyle w:val="ListParagraph"/>
        <w:numPr>
          <w:ilvl w:val="0"/>
          <w:numId w:val="2"/>
        </w:numPr>
        <w:spacing w:after="80"/>
      </w:pPr>
      <w:r>
        <w:rPr>
          <w:rFonts w:ascii="Arial" w:cs="Arial" w:eastAsia="Arial" w:hAnsi="Arial"/>
          <w:sz w:val="22"/>
          <w:szCs w:val="22"/>
        </w:rPr>
        <w:t xml:space="preserve">LOW MSA depth (32–64 sequences): AF2 is uncertain, explores more conformations. CLOSED structures appear for LBCA and SPM6</w:t>
      </w:r>
    </w:p>
    <w:p>
      <w:pPr>
        <w:pStyle w:val="ListParagraph"/>
        <w:numPr>
          <w:ilvl w:val="0"/>
          <w:numId w:val="2"/>
        </w:numPr>
        <w:spacing w:after="80"/>
      </w:pPr>
      <w:r>
        <w:rPr>
          <w:rFonts w:ascii="Arial" w:cs="Arial" w:eastAsia="Arial" w:hAnsi="Arial"/>
          <w:sz w:val="22"/>
          <w:szCs w:val="22"/>
        </w:rPr>
        <w:t xml:space="preserve">This means: to use tAF2 for conformational exploration, you MUST use low MSA depths (32–64)</w:t>
      </w:r>
    </w:p>
    <w:p>
      <w:pPr>
        <w:spacing w:after="0"/>
      </w:pPr>
    </w:p>
    <w:p>
      <w:pPr>
        <w:pStyle w:val="Heading2"/>
        <w:spacing w:after="120" w:before="240"/>
      </w:pPr>
      <w:r>
        <w:rPr>
          <w:rFonts w:ascii="Arial" w:cs="Arial" w:eastAsia="Arial" w:hAnsi="Arial"/>
          <w:b/>
          <w:bCs/>
          <w:color w:val="2E5FA3"/>
          <w:sz w:val="24"/>
          <w:szCs w:val="24"/>
        </w:rPr>
        <w:t xml:space="preserve">Practical Guide: Using tAF2-MD for Your Project</w:t>
      </w:r>
    </w:p>
    <w:p>
      <w:pPr>
        <w:pStyle w:val="ListParagraph"/>
        <w:numPr>
          <w:ilvl w:val="0"/>
          <w:numId w:val="2"/>
        </w:numPr>
        <w:spacing w:after="80"/>
      </w:pPr>
      <w:r>
        <w:rPr>
          <w:rFonts w:ascii="Arial" w:cs="Arial" w:eastAsia="Arial" w:hAnsi="Arial"/>
          <w:sz w:val="22"/>
          <w:szCs w:val="22"/>
        </w:rPr>
        <w:t xml:space="preserve">For each RFDiffusion2 design candidate:</w:t>
      </w:r>
    </w:p>
    <w:p>
      <w:pPr>
        <w:pStyle w:val="ListParagraph"/>
        <w:numPr>
          <w:ilvl w:val="1"/>
          <w:numId w:val="2"/>
        </w:numPr>
        <w:spacing w:after="80"/>
      </w:pPr>
      <w:r>
        <w:rPr>
          <w:rFonts w:ascii="Arial" w:cs="Arial" w:eastAsia="Arial" w:hAnsi="Arial"/>
          <w:sz w:val="22"/>
          <w:szCs w:val="22"/>
        </w:rPr>
        <w:t xml:space="preserve">Generate 60 AF2 structures using MSA depths [32,64,128,256] × [open,partial,closed templates]</w:t>
      </w:r>
    </w:p>
    <w:p>
      <w:pPr>
        <w:pStyle w:val="ListParagraph"/>
        <w:numPr>
          <w:ilvl w:val="1"/>
          <w:numId w:val="2"/>
        </w:numPr>
        <w:spacing w:after="80"/>
      </w:pPr>
      <w:r>
        <w:rPr>
          <w:rFonts w:ascii="Arial" w:cs="Arial" w:eastAsia="Arial" w:hAnsi="Arial"/>
          <w:sz w:val="22"/>
          <w:szCs w:val="22"/>
        </w:rPr>
        <w:t xml:space="preserve">Run 2×10 ns MD from each structure (can use any GPU)</w:t>
      </w:r>
    </w:p>
    <w:p>
      <w:pPr>
        <w:pStyle w:val="ListParagraph"/>
        <w:numPr>
          <w:ilvl w:val="1"/>
          <w:numId w:val="2"/>
        </w:numPr>
        <w:spacing w:after="80"/>
      </w:pPr>
      <w:r>
        <w:rPr>
          <w:rFonts w:ascii="Arial" w:cs="Arial" w:eastAsia="Arial" w:hAnsi="Arial"/>
          <w:sz w:val="22"/>
          <w:szCs w:val="22"/>
        </w:rPr>
        <w:t xml:space="preserve">Project onto COMM-domain CV; estimate FEL</w:t>
      </w:r>
    </w:p>
    <w:p>
      <w:pPr>
        <w:pStyle w:val="ListParagraph"/>
        <w:numPr>
          <w:ilvl w:val="1"/>
          <w:numId w:val="2"/>
        </w:numPr>
        <w:spacing w:after="80"/>
      </w:pPr>
      <w:r>
        <w:rPr>
          <w:rFonts w:ascii="Arial" w:cs="Arial" w:eastAsia="Arial" w:hAnsi="Arial"/>
          <w:sz w:val="22"/>
          <w:szCs w:val="22"/>
        </w:rPr>
        <w:t xml:space="preserve">If FEL shows good closed-state density: promote to full MetaDynamics</w:t>
      </w:r>
    </w:p>
    <w:p>
      <w:pPr>
        <w:pStyle w:val="ListParagraph"/>
        <w:numPr>
          <w:ilvl w:val="1"/>
          <w:numId w:val="2"/>
        </w:numPr>
        <w:spacing w:after="80"/>
      </w:pPr>
      <w:r>
        <w:rPr>
          <w:rFonts w:ascii="Arial" w:cs="Arial" w:eastAsia="Arial" w:hAnsi="Arial"/>
          <w:sz w:val="22"/>
          <w:szCs w:val="22"/>
        </w:rPr>
        <w:t xml:space="preserve">If FEL shows only open states: deprioritize candidate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Time Estimates (Per Candidate)</w:t>
            </w:r>
          </w:p>
          <w:p>
            <w:pPr>
              <w:spacing w:after="0"/>
            </w:pPr>
            <w:r>
              <w:rPr>
                <w:rFonts w:ascii="Arial" w:cs="Arial" w:eastAsia="Arial" w:hAnsi="Arial"/>
                <w:sz w:val="22"/>
                <w:szCs w:val="22"/>
              </w:rPr>
              <w:t xml:space="preserve">tAF2 structure generation: ~2 hours per variant (CPU-only, 60 predictions)
Short MD: ~12 hours (60 × 10ns on 1 GPU, parallelized)
Total per candidate: ~14 hours
For 100 candidates: ~60 GPU-days (but highly parallelizable on HPC cluster)
Full MetaDynamics (comparison): ~5-7 days per variant on 4 GPUs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CCCCCC" w:sz="1"/>
              <w:right w:val="single" w:color="CCCCCC" w:sz="1"/>
            </w:tcBorders>
            <w:shd w:fill="EAF2FB" w:val="clear"/>
            <w:tcMar>
              <w:top w:type="dxa" w:w="120"/>
              <w:left w:type="dxa" w:w="160"/>
              <w:bottom w:type="dxa" w:w="120"/>
              <w:right w:type="dxa" w:w="160"/>
            </w:tcMar>
          </w:tcPr>
          <w:p>
            <w:pPr>
              <w:spacing w:after="40"/>
            </w:pPr>
            <w:r>
              <w:rPr>
                <w:rFonts w:ascii="Arial" w:cs="Arial" w:eastAsia="Arial" w:hAnsi="Arial"/>
                <w:b/>
                <w:bCs/>
                <w:color w:val="2E5FA3"/>
                <w:sz w:val="18"/>
                <w:szCs w:val="18"/>
              </w:rPr>
              <w:t xml:space="preserve">Paper 4  —  🏢 UNC Library</w:t>
            </w:r>
          </w:p>
          <w:p>
            <w:pPr>
              <w:spacing w:after="60"/>
            </w:pPr>
            <w:r>
              <w:rPr>
                <w:rFonts w:ascii="Arial" w:cs="Arial" w:eastAsia="Arial" w:hAnsi="Arial"/>
                <w:b/>
                <w:bCs/>
                <w:sz w:val="24"/>
                <w:szCs w:val="24"/>
              </w:rPr>
              <w:t xml:space="preserve">Harnessing Conformational Dynamics in Enzyme Catalysis to Achieve Nature-like Catalytic Efficiencies: The Shortest Path Map Tool for Computational Enzyme Redesign</w:t>
            </w:r>
          </w:p>
          <w:p>
            <w:pPr>
              <w:spacing w:after="40"/>
            </w:pPr>
            <w:r>
              <w:rPr>
                <w:rFonts w:ascii="Arial" w:cs="Arial" w:eastAsia="Arial" w:hAnsi="Arial"/>
                <w:i/>
                <w:iCs/>
                <w:color w:val="595959"/>
                <w:sz w:val="20"/>
                <w:szCs w:val="20"/>
              </w:rPr>
              <w:t xml:space="preserve">Duran C, Casadevall G, Osuna S</w:t>
            </w:r>
          </w:p>
          <w:p>
            <w:pPr>
              <w:spacing w:after="40"/>
            </w:pPr>
            <w:r>
              <w:rPr>
                <w:rFonts w:ascii="Arial" w:cs="Arial" w:eastAsia="Arial" w:hAnsi="Arial"/>
                <w:color w:val="595959"/>
                <w:sz w:val="20"/>
                <w:szCs w:val="20"/>
              </w:rPr>
              <w:t xml:space="preserve">Faraday Discussions 2024, 252, 306–322</w:t>
            </w:r>
          </w:p>
          <w:p>
            <w:pPr>
              <w:spacing w:after="0"/>
            </w:pPr>
            <w:r>
              <w:rPr>
                <w:rFonts w:ascii="Courier New" w:cs="Courier New" w:eastAsia="Courier New" w:hAnsi="Courier New"/>
                <w:color w:val="777777"/>
                <w:sz w:val="18"/>
                <w:szCs w:val="18"/>
              </w:rPr>
              <w:t xml:space="preserve">DOI: 10.1039/D3FD00156C</w:t>
            </w:r>
          </w:p>
        </w:tc>
      </w:tr>
    </w:tbl>
    <w:p>
      <w:pPr>
        <w:spacing w:after="0"/>
      </w:pPr>
    </w:p>
    <w:p>
      <w:pPr>
        <w:pStyle w:val="Heading2"/>
        <w:spacing w:after="120" w:before="240"/>
      </w:pPr>
      <w:r>
        <w:rPr>
          <w:rFonts w:ascii="Arial" w:cs="Arial" w:eastAsia="Arial" w:hAnsi="Arial"/>
          <w:b/>
          <w:bCs/>
          <w:color w:val="2E5FA3"/>
          <w:sz w:val="24"/>
          <w:szCs w:val="24"/>
        </w:rPr>
        <w:t xml:space="preserve">What This Paper Is</w:t>
      </w:r>
    </w:p>
    <w:p>
      <w:pPr>
        <w:spacing w:after="120"/>
      </w:pPr>
      <w:r>
        <w:rPr>
          <w:rFonts w:ascii="Arial" w:cs="Arial" w:eastAsia="Arial" w:hAnsi="Arial"/>
          <w:sz w:val="22"/>
          <w:szCs w:val="22"/>
        </w:rPr>
        <w:t xml:space="preserve">This is a review/perspective paper written for a Faraday Discussion meeting. Osuna's group synthesizes all their TrpB work (2019-2024) into a unified framework and discusses future directions. It is the most current summary of 'how the Osuna lab thinks about enzyme design.'</w:t>
      </w:r>
    </w:p>
    <w:p>
      <w:pPr>
        <w:spacing w:after="0"/>
      </w:pPr>
    </w:p>
    <w:p>
      <w:pPr>
        <w:pStyle w:val="Heading2"/>
        <w:spacing w:after="120" w:before="240"/>
      </w:pPr>
      <w:r>
        <w:rPr>
          <w:rFonts w:ascii="Arial" w:cs="Arial" w:eastAsia="Arial" w:hAnsi="Arial"/>
          <w:b/>
          <w:bCs/>
          <w:color w:val="2E5FA3"/>
          <w:sz w:val="24"/>
          <w:szCs w:val="24"/>
        </w:rPr>
        <w:t xml:space="preserve">Key Concepts Introduced or Clarified</w:t>
      </w:r>
    </w:p>
    <w:p>
      <w:pPr>
        <w:pStyle w:val="Heading3"/>
        <w:spacing w:after="80" w:before="160"/>
      </w:pPr>
      <w:r>
        <w:rPr>
          <w:rFonts w:ascii="Arial" w:cs="Arial" w:eastAsia="Arial" w:hAnsi="Arial"/>
          <w:b/>
          <w:bCs/>
          <w:color w:val="595959"/>
          <w:sz w:val="22"/>
          <w:szCs w:val="22"/>
        </w:rPr>
        <w:t xml:space="preserve">1. The Population Shift Framework</w:t>
      </w:r>
    </w:p>
    <w:p>
      <w:pPr>
        <w:spacing w:after="120"/>
      </w:pPr>
      <w:r>
        <w:rPr>
          <w:rFonts w:ascii="Arial" w:cs="Arial" w:eastAsia="Arial" w:hAnsi="Arial"/>
          <w:sz w:val="22"/>
          <w:szCs w:val="22"/>
        </w:rPr>
        <w:t xml:space="preserve">The paper explicitly frames enzyme design as a 'population shift problem': mutations do not create new catalytic mechanisms — they shift the existing conformational population toward productive states. This means:</w:t>
      </w:r>
    </w:p>
    <w:p>
      <w:pPr>
        <w:pStyle w:val="ListParagraph"/>
        <w:numPr>
          <w:ilvl w:val="0"/>
          <w:numId w:val="2"/>
        </w:numPr>
        <w:spacing w:after="80"/>
      </w:pPr>
      <w:r>
        <w:rPr>
          <w:rFonts w:ascii="Arial" w:cs="Arial" w:eastAsia="Arial" w:hAnsi="Arial"/>
          <w:sz w:val="22"/>
          <w:szCs w:val="22"/>
        </w:rPr>
        <w:t xml:space="preserve">You need to know what the 'productive state' looks like (MetaDynamics reveals this)</w:t>
      </w:r>
    </w:p>
    <w:p>
      <w:pPr>
        <w:pStyle w:val="ListParagraph"/>
        <w:numPr>
          <w:ilvl w:val="0"/>
          <w:numId w:val="2"/>
        </w:numPr>
        <w:spacing w:after="80"/>
      </w:pPr>
      <w:r>
        <w:rPr>
          <w:rFonts w:ascii="Arial" w:cs="Arial" w:eastAsia="Arial" w:hAnsi="Arial"/>
          <w:sz w:val="22"/>
          <w:szCs w:val="22"/>
        </w:rPr>
        <w:t xml:space="preserve">You need to know which mutations shift the population toward it (SPM predicts this)</w:t>
      </w:r>
    </w:p>
    <w:p>
      <w:pPr>
        <w:pStyle w:val="ListParagraph"/>
        <w:numPr>
          <w:ilvl w:val="0"/>
          <w:numId w:val="2"/>
        </w:numPr>
        <w:spacing w:after="80"/>
      </w:pPr>
      <w:r>
        <w:rPr>
          <w:rFonts w:ascii="Arial" w:cs="Arial" w:eastAsia="Arial" w:hAnsi="Arial"/>
          <w:sz w:val="22"/>
          <w:szCs w:val="22"/>
        </w:rPr>
        <w:t xml:space="preserve">Directed evolution works by accidentally hitting mutations that do this</w:t>
      </w:r>
    </w:p>
    <w:p>
      <w:pPr>
        <w:spacing w:after="0"/>
      </w:pPr>
    </w:p>
    <w:p>
      <w:pPr>
        <w:pStyle w:val="Heading3"/>
        <w:spacing w:after="80" w:before="160"/>
      </w:pPr>
      <w:r>
        <w:rPr>
          <w:rFonts w:ascii="Arial" w:cs="Arial" w:eastAsia="Arial" w:hAnsi="Arial"/>
          <w:b/>
          <w:bCs/>
          <w:color w:val="595959"/>
          <w:sz w:val="22"/>
          <w:szCs w:val="22"/>
        </w:rPr>
        <w:t xml:space="preserve">2. SPM + tAF2 Combined Protocol</w:t>
      </w:r>
    </w:p>
    <w:p>
      <w:pPr>
        <w:spacing w:after="120"/>
      </w:pPr>
      <w:r>
        <w:rPr>
          <w:rFonts w:ascii="Arial" w:cs="Arial" w:eastAsia="Arial" w:hAnsi="Arial"/>
          <w:sz w:val="22"/>
          <w:szCs w:val="22"/>
        </w:rPr>
        <w:t xml:space="preserve">This paper shows the first examples of using tAF2-MD as a screening step BEFORE running MetaDynamics, then using SPM on the MetaDynamics-validated structures. This is the current recommended workflow from Osuna's group:</w:t>
      </w:r>
    </w:p>
    <w:p>
      <w:pPr>
        <w:pStyle w:val="ListParagraph"/>
        <w:numPr>
          <w:ilvl w:val="0"/>
          <w:numId w:val="2"/>
        </w:numPr>
        <w:spacing w:after="80"/>
      </w:pPr>
      <w:r>
        <w:rPr>
          <w:rFonts w:ascii="Arial" w:cs="Arial" w:eastAsia="Arial" w:hAnsi="Arial"/>
          <w:sz w:val="22"/>
          <w:szCs w:val="22"/>
        </w:rPr>
        <w:t xml:space="preserve">Step 1: tAF2-MD screening on many variants (fast)</w:t>
      </w:r>
    </w:p>
    <w:p>
      <w:pPr>
        <w:pStyle w:val="ListParagraph"/>
        <w:numPr>
          <w:ilvl w:val="0"/>
          <w:numId w:val="2"/>
        </w:numPr>
        <w:spacing w:after="80"/>
      </w:pPr>
      <w:r>
        <w:rPr>
          <w:rFonts w:ascii="Arial" w:cs="Arial" w:eastAsia="Arial" w:hAnsi="Arial"/>
          <w:sz w:val="22"/>
          <w:szCs w:val="22"/>
        </w:rPr>
        <w:t xml:space="preserve">Step 2: Full MetaDynamics on top candidates (expensive, but fewer)</w:t>
      </w:r>
    </w:p>
    <w:p>
      <w:pPr>
        <w:pStyle w:val="ListParagraph"/>
        <w:numPr>
          <w:ilvl w:val="0"/>
          <w:numId w:val="2"/>
        </w:numPr>
        <w:spacing w:after="80"/>
      </w:pPr>
      <w:r>
        <w:rPr>
          <w:rFonts w:ascii="Arial" w:cs="Arial" w:eastAsia="Arial" w:hAnsi="Arial"/>
          <w:sz w:val="22"/>
          <w:szCs w:val="22"/>
        </w:rPr>
        <w:t xml:space="preserve">Step 3: SPM on MetaDynamics trajectories to predict next-round mutations</w:t>
      </w:r>
    </w:p>
    <w:p>
      <w:pPr>
        <w:pStyle w:val="ListParagraph"/>
        <w:numPr>
          <w:ilvl w:val="0"/>
          <w:numId w:val="2"/>
        </w:numPr>
        <w:spacing w:after="80"/>
      </w:pPr>
      <w:r>
        <w:rPr>
          <w:rFonts w:ascii="Arial" w:cs="Arial" w:eastAsia="Arial" w:hAnsi="Arial"/>
          <w:sz w:val="22"/>
          <w:szCs w:val="22"/>
        </w:rPr>
        <w:t xml:space="preserve">Step 4: Repeat</w:t>
      </w:r>
    </w:p>
    <w:p>
      <w:pPr>
        <w:spacing w:after="0"/>
      </w:pPr>
    </w:p>
    <w:p>
      <w:pPr>
        <w:pStyle w:val="Heading3"/>
        <w:spacing w:after="80" w:before="160"/>
      </w:pPr>
      <w:r>
        <w:rPr>
          <w:rFonts w:ascii="Arial" w:cs="Arial" w:eastAsia="Arial" w:hAnsi="Arial"/>
          <w:b/>
          <w:bCs/>
          <w:color w:val="595959"/>
          <w:sz w:val="22"/>
          <w:szCs w:val="22"/>
        </w:rPr>
        <w:t xml:space="preserve">3. Discussion Points on Limitations</w:t>
      </w:r>
    </w:p>
    <w:p>
      <w:pPr>
        <w:spacing w:after="120"/>
      </w:pPr>
      <w:r>
        <w:rPr>
          <w:rFonts w:ascii="Arial" w:cs="Arial" w:eastAsia="Arial" w:hAnsi="Arial"/>
          <w:sz w:val="22"/>
          <w:szCs w:val="22"/>
        </w:rPr>
        <w:t xml:space="preserve">The paper openly discusses where the method fails:</w:t>
      </w:r>
    </w:p>
    <w:p>
      <w:pPr>
        <w:pStyle w:val="ListParagraph"/>
        <w:numPr>
          <w:ilvl w:val="0"/>
          <w:numId w:val="2"/>
        </w:numPr>
        <w:spacing w:after="80"/>
      </w:pPr>
      <w:r>
        <w:rPr>
          <w:rFonts w:ascii="Arial" w:cs="Arial" w:eastAsia="Arial" w:hAnsi="Arial"/>
          <w:sz w:val="22"/>
          <w:szCs w:val="22"/>
        </w:rPr>
        <w:t xml:space="preserve">SPM works well for local conformational effects but less well for very long-range allosteric communication (&gt;30 Å from active site)</w:t>
      </w:r>
    </w:p>
    <w:p>
      <w:pPr>
        <w:pStyle w:val="ListParagraph"/>
        <w:numPr>
          <w:ilvl w:val="0"/>
          <w:numId w:val="2"/>
        </w:numPr>
        <w:spacing w:after="80"/>
      </w:pPr>
      <w:r>
        <w:rPr>
          <w:rFonts w:ascii="Arial" w:cs="Arial" w:eastAsia="Arial" w:hAnsi="Arial"/>
          <w:sz w:val="22"/>
          <w:szCs w:val="22"/>
        </w:rPr>
        <w:t xml:space="preserve">tAF2 can miss rare but catalytically important conformations if they are very high-energy</w:t>
      </w:r>
    </w:p>
    <w:p>
      <w:pPr>
        <w:pStyle w:val="ListParagraph"/>
        <w:numPr>
          <w:ilvl w:val="0"/>
          <w:numId w:val="2"/>
        </w:numPr>
        <w:spacing w:after="80"/>
      </w:pPr>
      <w:r>
        <w:rPr>
          <w:rFonts w:ascii="Arial" w:cs="Arial" w:eastAsia="Arial" w:hAnsi="Arial"/>
          <w:sz w:val="22"/>
          <w:szCs w:val="22"/>
        </w:rPr>
        <w:t xml:space="preserve">MetaDynamics CV choice remains the biggest source of human judgment in the pipeline</w:t>
      </w:r>
    </w:p>
    <w:p>
      <w:pPr>
        <w:spacing w:after="0"/>
      </w:pPr>
    </w:p>
    <w:p>
      <w:pPr>
        <w:pStyle w:val="Heading2"/>
        <w:spacing w:after="120" w:before="240"/>
      </w:pPr>
      <w:r>
        <w:rPr>
          <w:rFonts w:ascii="Arial" w:cs="Arial" w:eastAsia="Arial" w:hAnsi="Arial"/>
          <w:b/>
          <w:bCs/>
          <w:color w:val="2E5FA3"/>
          <w:sz w:val="24"/>
          <w:szCs w:val="24"/>
        </w:rPr>
        <w:t xml:space="preserve">Why This Matters for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The 2024 State-of-the-Art Protocol</w:t>
            </w:r>
          </w:p>
          <w:p>
            <w:pPr>
              <w:spacing w:after="0"/>
            </w:pPr>
            <w:r>
              <w:rPr>
                <w:rFonts w:ascii="Arial" w:cs="Arial" w:eastAsia="Arial" w:hAnsi="Arial"/>
                <w:sz w:val="22"/>
                <w:szCs w:val="22"/>
              </w:rPr>
              <w:t xml:space="preserve">This paper describes exactly the workflow that is now considered 'best practice' for MetaDynamics-guided enzyme design. Learning this paper means you understand not just what Osuna's group has done, but the recommended approach for any new enzyme design problem including yours.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CCCCCC" w:sz="1"/>
              <w:right w:val="single" w:color="CCCCCC" w:sz="1"/>
            </w:tcBorders>
            <w:shd w:fill="EAF2FB" w:val="clear"/>
            <w:tcMar>
              <w:top w:type="dxa" w:w="120"/>
              <w:left w:type="dxa" w:w="160"/>
              <w:bottom w:type="dxa" w:w="120"/>
              <w:right w:type="dxa" w:w="160"/>
            </w:tcMar>
          </w:tcPr>
          <w:p>
            <w:pPr>
              <w:spacing w:after="40"/>
            </w:pPr>
            <w:r>
              <w:rPr>
                <w:rFonts w:ascii="Arial" w:cs="Arial" w:eastAsia="Arial" w:hAnsi="Arial"/>
                <w:b/>
                <w:bCs/>
                <w:color w:val="2E5FA3"/>
                <w:sz w:val="18"/>
                <w:szCs w:val="18"/>
              </w:rPr>
              <w:t xml:space="preserve">Paper 5  —  🏢 UNC Library</w:t>
            </w:r>
          </w:p>
          <w:p>
            <w:pPr>
              <w:spacing w:after="60"/>
            </w:pPr>
            <w:r>
              <w:rPr>
                <w:rFonts w:ascii="Arial" w:cs="Arial" w:eastAsia="Arial" w:hAnsi="Arial"/>
                <w:b/>
                <w:bCs/>
                <w:sz w:val="24"/>
                <w:szCs w:val="24"/>
              </w:rPr>
              <w:t xml:space="preserve">A Naturally Occurring Standalone TrpB Enzyme Provides Insights into Allosteric Communication within Tryptophan Synthase</w:t>
            </w:r>
          </w:p>
          <w:p>
            <w:pPr>
              <w:spacing w:after="40"/>
            </w:pPr>
            <w:r>
              <w:rPr>
                <w:rFonts w:ascii="Arial" w:cs="Arial" w:eastAsia="Arial" w:hAnsi="Arial"/>
                <w:i/>
                <w:iCs/>
                <w:color w:val="595959"/>
                <w:sz w:val="20"/>
                <w:szCs w:val="20"/>
              </w:rPr>
              <w:t xml:space="preserve">Kinateder T, Drexler L, Duran C, Osuna S, Sterner R</w:t>
            </w:r>
          </w:p>
          <w:p>
            <w:pPr>
              <w:spacing w:after="40"/>
            </w:pPr>
            <w:r>
              <w:rPr>
                <w:rFonts w:ascii="Arial" w:cs="Arial" w:eastAsia="Arial" w:hAnsi="Arial"/>
                <w:color w:val="595959"/>
                <w:sz w:val="20"/>
                <w:szCs w:val="20"/>
              </w:rPr>
              <w:t xml:space="preserve">Protein Science 2025, 34, e70103</w:t>
            </w:r>
          </w:p>
          <w:p>
            <w:pPr>
              <w:spacing w:after="0"/>
            </w:pPr>
            <w:r>
              <w:rPr>
                <w:rFonts w:ascii="Courier New" w:cs="Courier New" w:eastAsia="Courier New" w:hAnsi="Courier New"/>
                <w:color w:val="777777"/>
                <w:sz w:val="18"/>
                <w:szCs w:val="18"/>
              </w:rPr>
              <w:t xml:space="preserve">DOI: 10.1002/pro.70103</w:t>
            </w:r>
          </w:p>
        </w:tc>
      </w:tr>
    </w:tbl>
    <w:p>
      <w:pPr>
        <w:spacing w:after="0"/>
      </w:pPr>
    </w:p>
    <w:p>
      <w:pPr>
        <w:pStyle w:val="Heading2"/>
        <w:spacing w:after="120" w:before="240"/>
      </w:pPr>
      <w:r>
        <w:rPr>
          <w:rFonts w:ascii="Arial" w:cs="Arial" w:eastAsia="Arial" w:hAnsi="Arial"/>
          <w:b/>
          <w:bCs/>
          <w:color w:val="2E5FA3"/>
          <w:sz w:val="24"/>
          <w:szCs w:val="24"/>
        </w:rPr>
        <w:t xml:space="preserve">The Central Question</w:t>
      </w:r>
    </w:p>
    <w:p>
      <w:pPr>
        <w:spacing w:after="120"/>
      </w:pPr>
      <w:r>
        <w:rPr>
          <w:rFonts w:ascii="Arial" w:cs="Arial" w:eastAsia="Arial" w:hAnsi="Arial"/>
          <w:sz w:val="22"/>
          <w:szCs w:val="22"/>
        </w:rPr>
        <w:t xml:space="preserve">Are there TrpB enzymes in nature that are already standalone active WITHOUT any laboratory evolution? If so, what makes them different? This could reveal natural solutions to the allosteric activation problem.</w:t>
      </w:r>
    </w:p>
    <w:p>
      <w:pPr>
        <w:spacing w:after="0"/>
      </w:pPr>
    </w:p>
    <w:p>
      <w:pPr>
        <w:pStyle w:val="Heading2"/>
        <w:spacing w:after="120" w:before="240"/>
      </w:pPr>
      <w:r>
        <w:rPr>
          <w:rFonts w:ascii="Arial" w:cs="Arial" w:eastAsia="Arial" w:hAnsi="Arial"/>
          <w:b/>
          <w:bCs/>
          <w:color w:val="2E5FA3"/>
          <w:sz w:val="24"/>
          <w:szCs w:val="24"/>
        </w:rPr>
        <w:t xml:space="preserve">Discovery: plTrpB from Pelodictyon luteolum</w:t>
      </w:r>
    </w:p>
    <w:p>
      <w:pPr>
        <w:pStyle w:val="ListParagraph"/>
        <w:numPr>
          <w:ilvl w:val="0"/>
          <w:numId w:val="2"/>
        </w:numPr>
        <w:spacing w:after="80"/>
      </w:pPr>
      <w:r>
        <w:rPr>
          <w:rFonts w:ascii="Arial" w:cs="Arial" w:eastAsia="Arial" w:hAnsi="Arial"/>
          <w:sz w:val="22"/>
          <w:szCs w:val="22"/>
        </w:rPr>
        <w:t xml:space="preserve">Database search for TrpB sequences that naturally contain the 6-residue pattern (Res6) found in LBCA-TrpB</w:t>
      </w:r>
    </w:p>
    <w:p>
      <w:pPr>
        <w:pStyle w:val="ListParagraph"/>
        <w:numPr>
          <w:ilvl w:val="0"/>
          <w:numId w:val="2"/>
        </w:numPr>
        <w:spacing w:after="80"/>
      </w:pPr>
      <w:r>
        <w:rPr>
          <w:rFonts w:ascii="Arial" w:cs="Arial" w:eastAsia="Arial" w:hAnsi="Arial"/>
          <w:sz w:val="22"/>
          <w:szCs w:val="22"/>
        </w:rPr>
        <w:t xml:space="preserve">Found plTrpB (from green sulfur bacterium Pelodictyon luteolum) as a natural Res6-containing TrpB</w:t>
      </w:r>
    </w:p>
    <w:p>
      <w:pPr>
        <w:pStyle w:val="ListParagraph"/>
        <w:numPr>
          <w:ilvl w:val="0"/>
          <w:numId w:val="2"/>
        </w:numPr>
        <w:spacing w:after="80"/>
      </w:pPr>
      <w:r>
        <w:rPr>
          <w:rFonts w:ascii="Arial" w:cs="Arial" w:eastAsia="Arial" w:hAnsi="Arial"/>
          <w:sz w:val="22"/>
          <w:szCs w:val="22"/>
        </w:rPr>
        <w:t xml:space="preserve">Experimental characterization: plTrpB shows high standalone activity without TrpA</w:t>
      </w:r>
    </w:p>
    <w:p>
      <w:pPr>
        <w:pStyle w:val="ListParagraph"/>
        <w:numPr>
          <w:ilvl w:val="0"/>
          <w:numId w:val="2"/>
        </w:numPr>
        <w:spacing w:after="80"/>
      </w:pPr>
      <w:r>
        <w:rPr>
          <w:rFonts w:ascii="Arial" w:cs="Arial" w:eastAsia="Arial" w:hAnsi="Arial"/>
          <w:sz w:val="22"/>
          <w:szCs w:val="22"/>
        </w:rPr>
        <w:t xml:space="preserve">plTrpA actually has moderate activation effect (unlike the strong allosteric activation in standard TrpS)</w:t>
      </w:r>
    </w:p>
    <w:p>
      <w:pPr>
        <w:spacing w:after="0"/>
      </w:pPr>
    </w:p>
    <w:p>
      <w:pPr>
        <w:pStyle w:val="Heading2"/>
        <w:spacing w:after="120" w:before="240"/>
      </w:pPr>
      <w:r>
        <w:rPr>
          <w:rFonts w:ascii="Arial" w:cs="Arial" w:eastAsia="Arial" w:hAnsi="Arial"/>
          <w:b/>
          <w:bCs/>
          <w:color w:val="2E5FA3"/>
          <w:sz w:val="24"/>
          <w:szCs w:val="24"/>
        </w:rPr>
        <w:t xml:space="preserve">Key Computational Finding</w:t>
      </w:r>
    </w:p>
    <w:p>
      <w:pPr>
        <w:pStyle w:val="ListParagraph"/>
        <w:numPr>
          <w:ilvl w:val="0"/>
          <w:numId w:val="2"/>
        </w:numPr>
        <w:spacing w:after="80"/>
      </w:pPr>
      <w:r>
        <w:rPr>
          <w:rFonts w:ascii="Arial" w:cs="Arial" w:eastAsia="Arial" w:hAnsi="Arial"/>
          <w:sz w:val="22"/>
          <w:szCs w:val="22"/>
        </w:rPr>
        <w:t xml:space="preserve">MetaDynamics + SPM analysis of plTrpB vs plTrpB-con (a consensus variant)</w:t>
      </w:r>
    </w:p>
    <w:p>
      <w:pPr>
        <w:pStyle w:val="ListParagraph"/>
        <w:numPr>
          <w:ilvl w:val="0"/>
          <w:numId w:val="2"/>
        </w:numPr>
        <w:spacing w:after="80"/>
      </w:pPr>
      <w:r>
        <w:rPr>
          <w:rFonts w:ascii="Arial" w:cs="Arial" w:eastAsia="Arial" w:hAnsi="Arial"/>
          <w:sz w:val="22"/>
          <w:szCs w:val="22"/>
        </w:rPr>
        <w:t xml:space="preserve">plTrpB in isolation: COMM domain efficiently adopts BOTH active-site closure AND COMM domain closure</w:t>
      </w:r>
    </w:p>
    <w:p>
      <w:pPr>
        <w:pStyle w:val="ListParagraph"/>
        <w:numPr>
          <w:ilvl w:val="0"/>
          <w:numId w:val="2"/>
        </w:numPr>
        <w:spacing w:after="80"/>
      </w:pPr>
      <w:r>
        <w:rPr>
          <w:rFonts w:ascii="Arial" w:cs="Arial" w:eastAsia="Arial" w:hAnsi="Arial"/>
          <w:sz w:val="22"/>
          <w:szCs w:val="22"/>
        </w:rPr>
        <w:t xml:space="preserve">plTrpB-con: catalytically competent closed states are destabilized but can be recovered by plTrpA</w:t>
      </w:r>
    </w:p>
    <w:p>
      <w:pPr>
        <w:pStyle w:val="ListParagraph"/>
        <w:numPr>
          <w:ilvl w:val="0"/>
          <w:numId w:val="2"/>
        </w:numPr>
        <w:spacing w:after="80"/>
      </w:pPr>
      <w:r>
        <w:rPr>
          <w:rFonts w:ascii="Arial" w:cs="Arial" w:eastAsia="Arial" w:hAnsi="Arial"/>
          <w:sz w:val="22"/>
          <w:szCs w:val="22"/>
        </w:rPr>
        <w:t xml:space="preserve">SPM shows: catalytically and allosterically relevant domains (COMM domain + loops 2 and 6 in TrpA) are tightly interconnected EXCLUSIVELY in the plTrpA:plTrpB-con complex</w:t>
      </w:r>
    </w:p>
    <w:p>
      <w:pPr>
        <w:spacing w:after="0"/>
      </w:pPr>
    </w:p>
    <w:p>
      <w:pPr>
        <w:pStyle w:val="Heading2"/>
        <w:spacing w:after="120" w:before="240"/>
      </w:pPr>
      <w:r>
        <w:rPr>
          <w:rFonts w:ascii="Arial" w:cs="Arial" w:eastAsia="Arial" w:hAnsi="Arial"/>
          <w:b/>
          <w:bCs/>
          <w:color w:val="2E5FA3"/>
          <w:sz w:val="24"/>
          <w:szCs w:val="24"/>
        </w:rPr>
        <w:t xml:space="preserve">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A Natural Template for Your de Novo Design</w:t>
            </w:r>
          </w:p>
          <w:p>
            <w:pPr>
              <w:spacing w:after="0"/>
            </w:pPr>
            <w:r>
              <w:rPr>
                <w:rFonts w:ascii="Arial" w:cs="Arial" w:eastAsia="Arial" w:hAnsi="Arial"/>
                <w:sz w:val="22"/>
                <w:szCs w:val="22"/>
              </w:rPr>
              <w:t xml:space="preserve">plTrpB demonstrates that standalone, highly active TrpB can evolve naturally. Its structural features (particularly the Res6 pattern) may provide additional design constraints for your de novo D-Trp TrpB. Specifically:
(1) The residues corresponding to Res6 should ideally be included in or near your de novo design active site
(2) plTrpB's FEL (stable closed state without TrpA) is the 'ideal target FEL' for your designed enzymes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CCCCCC" w:sz="1"/>
              <w:right w:val="single" w:color="CCCCCC" w:sz="1"/>
            </w:tcBorders>
            <w:shd w:fill="EAF2FB" w:val="clear"/>
            <w:tcMar>
              <w:top w:type="dxa" w:w="120"/>
              <w:left w:type="dxa" w:w="160"/>
              <w:bottom w:type="dxa" w:w="120"/>
              <w:right w:type="dxa" w:w="160"/>
            </w:tcMar>
          </w:tcPr>
          <w:p>
            <w:pPr>
              <w:spacing w:after="40"/>
            </w:pPr>
            <w:r>
              <w:rPr>
                <w:rFonts w:ascii="Arial" w:cs="Arial" w:eastAsia="Arial" w:hAnsi="Arial"/>
                <w:b/>
                <w:bCs/>
                <w:color w:val="2E5FA3"/>
                <w:sz w:val="18"/>
                <w:szCs w:val="18"/>
              </w:rPr>
              <w:t xml:space="preserve">Paper 6  —  ✅ Open Access</w:t>
            </w:r>
          </w:p>
          <w:p>
            <w:pPr>
              <w:spacing w:after="60"/>
            </w:pPr>
            <w:r>
              <w:rPr>
                <w:rFonts w:ascii="Arial" w:cs="Arial" w:eastAsia="Arial" w:hAnsi="Arial"/>
                <w:b/>
                <w:bCs/>
                <w:sz w:val="24"/>
                <w:szCs w:val="24"/>
              </w:rPr>
              <w:t xml:space="preserve">Sequence-Based Generative AI-Guided Design of Versatile Tryptophan Synthases</w:t>
            </w:r>
          </w:p>
          <w:p>
            <w:pPr>
              <w:spacing w:after="40"/>
            </w:pPr>
            <w:r>
              <w:rPr>
                <w:rFonts w:ascii="Arial" w:cs="Arial" w:eastAsia="Arial" w:hAnsi="Arial"/>
                <w:i/>
                <w:iCs/>
                <w:color w:val="595959"/>
                <w:sz w:val="20"/>
                <w:szCs w:val="20"/>
              </w:rPr>
              <w:t xml:space="preserve">Casadevall G et al. (Osuna Lab + Collaborators)</w:t>
            </w:r>
          </w:p>
          <w:p>
            <w:pPr>
              <w:spacing w:after="40"/>
            </w:pPr>
            <w:r>
              <w:rPr>
                <w:rFonts w:ascii="Arial" w:cs="Arial" w:eastAsia="Arial" w:hAnsi="Arial"/>
                <w:color w:val="595959"/>
                <w:sz w:val="20"/>
                <w:szCs w:val="20"/>
              </w:rPr>
              <w:t xml:space="preserve">Nature Communications 2026 (preprint available)</w:t>
            </w:r>
          </w:p>
          <w:p>
            <w:pPr>
              <w:spacing w:after="0"/>
            </w:pPr>
            <w:r>
              <w:rPr>
                <w:rFonts w:ascii="Courier New" w:cs="Courier New" w:eastAsia="Courier New" w:hAnsi="Courier New"/>
                <w:color w:val="777777"/>
                <w:sz w:val="18"/>
                <w:szCs w:val="18"/>
              </w:rPr>
              <w:t xml:space="preserve">DOI: 10.1038/s41467-026-68384-6</w:t>
            </w:r>
          </w:p>
        </w:tc>
      </w:tr>
    </w:tbl>
    <w:p>
      <w:pPr>
        <w:spacing w:after="0"/>
      </w:pPr>
    </w:p>
    <w:p>
      <w:pPr>
        <w:pStyle w:val="Heading2"/>
        <w:spacing w:after="120" w:before="240"/>
      </w:pPr>
      <w:r>
        <w:rPr>
          <w:rFonts w:ascii="Arial" w:cs="Arial" w:eastAsia="Arial" w:hAnsi="Arial"/>
          <w:b/>
          <w:bCs/>
          <w:color w:val="2E5FA3"/>
          <w:sz w:val="24"/>
          <w:szCs w:val="24"/>
        </w:rPr>
        <w:t xml:space="preserve">What This Paper Is</w:t>
      </w:r>
    </w:p>
    <w:p>
      <w:pPr>
        <w:spacing w:after="120"/>
      </w:pPr>
      <w:r>
        <w:rPr>
          <w:rFonts w:ascii="Arial" w:cs="Arial" w:eastAsia="Arial" w:hAnsi="Arial"/>
          <w:sz w:val="22"/>
          <w:szCs w:val="22"/>
        </w:rPr>
        <w:t xml:space="preserve">This is Osuna's latest work, published 2026, combining protein language models with TrpB design. This is where the field is moving: combining physics-based MetaDynamics with AI sequence generation.</w:t>
      </w:r>
    </w:p>
    <w:p>
      <w:pPr>
        <w:spacing w:after="0"/>
      </w:pPr>
    </w:p>
    <w:p>
      <w:pPr>
        <w:pStyle w:val="Heading2"/>
        <w:spacing w:after="120" w:before="240"/>
      </w:pPr>
      <w:r>
        <w:rPr>
          <w:rFonts w:ascii="Arial" w:cs="Arial" w:eastAsia="Arial" w:hAnsi="Arial"/>
          <w:b/>
          <w:bCs/>
          <w:color w:val="2E5FA3"/>
          <w:sz w:val="24"/>
          <w:szCs w:val="24"/>
        </w:rPr>
        <w:t xml:space="preserve">Approach</w:t>
      </w:r>
    </w:p>
    <w:p>
      <w:pPr>
        <w:pStyle w:val="ListParagraph"/>
        <w:numPr>
          <w:ilvl w:val="0"/>
          <w:numId w:val="2"/>
        </w:numPr>
        <w:spacing w:after="80"/>
      </w:pPr>
      <w:r>
        <w:rPr>
          <w:rFonts w:ascii="Arial" w:cs="Arial" w:eastAsia="Arial" w:hAnsi="Arial"/>
          <w:sz w:val="22"/>
          <w:szCs w:val="22"/>
        </w:rPr>
        <w:t xml:space="preserve">Used GenSLM (a protein language model trained on 30,000 TrpB sequences) to generate novel TrpB sequences</w:t>
      </w:r>
    </w:p>
    <w:p>
      <w:pPr>
        <w:pStyle w:val="ListParagraph"/>
        <w:numPr>
          <w:ilvl w:val="0"/>
          <w:numId w:val="2"/>
        </w:numPr>
        <w:spacing w:after="80"/>
      </w:pPr>
      <w:r>
        <w:rPr>
          <w:rFonts w:ascii="Arial" w:cs="Arial" w:eastAsia="Arial" w:hAnsi="Arial"/>
          <w:sz w:val="22"/>
          <w:szCs w:val="22"/>
        </w:rPr>
        <w:t xml:space="preserve">Generated sequences express in E. coli, are stable, and are catalytically active</w:t>
      </w:r>
    </w:p>
    <w:p>
      <w:pPr>
        <w:pStyle w:val="ListParagraph"/>
        <w:numPr>
          <w:ilvl w:val="0"/>
          <w:numId w:val="2"/>
        </w:numPr>
        <w:spacing w:after="80"/>
      </w:pPr>
      <w:r>
        <w:rPr>
          <w:rFonts w:ascii="Arial" w:cs="Arial" w:eastAsia="Arial" w:hAnsi="Arial"/>
          <w:sz w:val="22"/>
          <w:szCs w:val="22"/>
        </w:rPr>
        <w:t xml:space="preserve">Many designed TrpBs show SUBSTRATE PROMISCUITY: better than natural TrpBs on non-native substrates</w:t>
      </w:r>
    </w:p>
    <w:p>
      <w:pPr>
        <w:pStyle w:val="ListParagraph"/>
        <w:numPr>
          <w:ilvl w:val="0"/>
          <w:numId w:val="2"/>
        </w:numPr>
        <w:spacing w:after="80"/>
      </w:pPr>
      <w:r>
        <w:rPr>
          <w:rFonts w:ascii="Arial" w:cs="Arial" w:eastAsia="Arial" w:hAnsi="Arial"/>
          <w:sz w:val="22"/>
          <w:szCs w:val="22"/>
        </w:rPr>
        <w:t xml:space="preserve">Some generated TrpBs outperform LABORATORY-EVOLVED TrpBs on specific substrates</w:t>
      </w:r>
    </w:p>
    <w:p>
      <w:pPr>
        <w:spacing w:after="0"/>
      </w:pPr>
    </w:p>
    <w:p>
      <w:pPr>
        <w:pStyle w:val="Heading2"/>
        <w:spacing w:after="120" w:before="240"/>
      </w:pPr>
      <w:r>
        <w:rPr>
          <w:rFonts w:ascii="Arial" w:cs="Arial" w:eastAsia="Arial" w:hAnsi="Arial"/>
          <w:b/>
          <w:bCs/>
          <w:color w:val="2E5FA3"/>
          <w:sz w:val="24"/>
          <w:szCs w:val="24"/>
        </w:rPr>
        <w:t xml:space="preserve">Connection to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7"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Hybrid AI-Physics Approach: The Future Direction</w:t>
            </w:r>
          </w:p>
          <w:p>
            <w:pPr>
              <w:spacing w:after="0"/>
            </w:pPr>
            <w:r>
              <w:rPr>
                <w:rFonts w:ascii="Arial" w:cs="Arial" w:eastAsia="Arial" w:hAnsi="Arial"/>
                <w:sz w:val="22"/>
                <w:szCs w:val="22"/>
              </w:rPr>
              <w:t xml:space="preserve">This paper shows Osuna's group is now combining MetaDynamics insights (physics) with language model generation (AI). Your project is doing something similar but from the structural design angle (RFDiffusion2 + ProteinMPNN + MetaDynamics).
The key question for your project: can MetaDynamics FEL features train or guide sequence generation models to produce D-Trp selective TrpBs? This is the 'big picture' contribution you could make.</w:t>
            </w:r>
          </w:p>
        </w:tc>
      </w:tr>
    </w:tbl>
    <w:p>
      <w:r>
        <w:br w:type="page"/>
      </w:r>
    </w:p>
    <w:p>
      <w:pPr>
        <w:pStyle w:val="Heading1"/>
        <w:spacing w:after="200" w:before="360"/>
      </w:pPr>
      <w:r>
        <w:rPr>
          <w:rFonts w:ascii="Arial" w:cs="Arial" w:eastAsia="Arial" w:hAnsi="Arial"/>
          <w:b/>
          <w:bCs/>
          <w:color w:val="1F3864"/>
          <w:sz w:val="30"/>
          <w:szCs w:val="30"/>
        </w:rPr>
        <w:t xml:space="preserve">How to Download Paywalled Papers via UNC Library</w:t>
      </w:r>
    </w:p>
    <w:p>
      <w:pPr>
        <w:pBdr>
          <w:bottom w:val="single" w:color="2E5FA3" w:sz="6"/>
        </w:pBdr>
        <w:spacing w:after="100" w:before="100"/>
      </w:pPr>
    </w:p>
    <w:p>
      <w:pPr>
        <w:spacing w:after="120"/>
      </w:pPr>
      <w:r>
        <w:rPr>
          <w:rFonts w:ascii="Arial" w:cs="Arial" w:eastAsia="Arial" w:hAnsi="Arial"/>
          <w:sz w:val="22"/>
          <w:szCs w:val="22"/>
        </w:rPr>
        <w:t xml:space="preserve">Papers marked 'UNC Library' require institutional access. Here are the methods:</w:t>
      </w:r>
    </w:p>
    <w:p>
      <w:pPr>
        <w:spacing w:after="0"/>
      </w:pPr>
    </w:p>
    <w:p>
      <w:pPr>
        <w:pStyle w:val="Heading2"/>
        <w:spacing w:after="120" w:before="240"/>
      </w:pPr>
      <w:r>
        <w:rPr>
          <w:rFonts w:ascii="Arial" w:cs="Arial" w:eastAsia="Arial" w:hAnsi="Arial"/>
          <w:b/>
          <w:bCs/>
          <w:color w:val="2E5FA3"/>
          <w:sz w:val="24"/>
          <w:szCs w:val="24"/>
        </w:rPr>
        <w:t xml:space="preserve">Method 1: Direct UNC Proxy (Fastest)</w:t>
      </w:r>
    </w:p>
    <w:p>
      <w:pPr>
        <w:spacing w:after="120"/>
      </w:pPr>
      <w:r>
        <w:rPr>
          <w:rFonts w:ascii="Arial" w:cs="Arial" w:eastAsia="Arial" w:hAnsi="Arial"/>
          <w:sz w:val="22"/>
          <w:szCs w:val="22"/>
        </w:rPr>
        <w:t xml:space="preserve">For any DOI, prepend the UNC proxy URL:</w:t>
      </w:r>
    </w:p>
    <w:p>
      <w:pPr>
        <w:spacing w:after="0"/>
      </w:pPr>
    </w:p>
    <w:p>
      <w:pPr>
        <w:spacing w:after="80"/>
      </w:pPr>
      <w:r>
        <w:rPr>
          <w:rFonts w:ascii="Courier New" w:cs="Courier New" w:eastAsia="Courier New" w:hAnsi="Courier New"/>
          <w:color w:val="2E5FA3"/>
          <w:sz w:val="20"/>
          <w:szCs w:val="20"/>
        </w:rPr>
        <w:t xml:space="preserve">https://libproxy.lib.unc.edu/login?url=https://doi.org/</w:t>
      </w:r>
    </w:p>
    <w:p>
      <w:pPr>
        <w:spacing w:after="0"/>
      </w:pPr>
    </w:p>
    <w:p>
      <w:pPr>
        <w:spacing w:after="120"/>
      </w:pPr>
      <w:r>
        <w:rPr>
          <w:rFonts w:ascii="Arial" w:cs="Arial" w:eastAsia="Arial" w:hAnsi="Arial"/>
          <w:sz w:val="22"/>
          <w:szCs w:val="22"/>
        </w:rPr>
        <w:t xml:space="preserve">Examples:</w:t>
      </w:r>
    </w:p>
    <w:p>
      <w:pPr>
        <w:pStyle w:val="ListParagraph"/>
        <w:numPr>
          <w:ilvl w:val="0"/>
          <w:numId w:val="2"/>
        </w:numPr>
        <w:spacing w:after="80"/>
      </w:pPr>
      <w:r>
        <w:rPr>
          <w:rFonts w:ascii="Arial" w:cs="Arial" w:eastAsia="Arial" w:hAnsi="Arial"/>
          <w:sz w:val="22"/>
          <w:szCs w:val="22"/>
        </w:rPr>
        <w:t xml:space="preserve">JACS 2019:  https://libproxy.lib.unc.edu/login?url=https://doi.org/10.1021/jacs.9b03646</w:t>
      </w:r>
    </w:p>
    <w:p>
      <w:pPr>
        <w:pStyle w:val="ListParagraph"/>
        <w:numPr>
          <w:ilvl w:val="0"/>
          <w:numId w:val="2"/>
        </w:numPr>
        <w:spacing w:after="80"/>
      </w:pPr>
      <w:r>
        <w:rPr>
          <w:rFonts w:ascii="Arial" w:cs="Arial" w:eastAsia="Arial" w:hAnsi="Arial"/>
          <w:sz w:val="22"/>
          <w:szCs w:val="22"/>
        </w:rPr>
        <w:t xml:space="preserve">ACS Catal 2021:  https://libproxy.lib.unc.edu/login?url=https://doi.org/10.1021/acscatal.1c03950</w:t>
      </w:r>
    </w:p>
    <w:p>
      <w:pPr>
        <w:pStyle w:val="ListParagraph"/>
        <w:numPr>
          <w:ilvl w:val="0"/>
          <w:numId w:val="2"/>
        </w:numPr>
        <w:spacing w:after="80"/>
      </w:pPr>
      <w:r>
        <w:rPr>
          <w:rFonts w:ascii="Arial" w:cs="Arial" w:eastAsia="Arial" w:hAnsi="Arial"/>
          <w:sz w:val="22"/>
          <w:szCs w:val="22"/>
        </w:rPr>
        <w:t xml:space="preserve">Faraday Disc 2024:  https://libproxy.lib.unc.edu/login?url=https://doi.org/10.1039/D3FD00156C</w:t>
      </w:r>
    </w:p>
    <w:p>
      <w:pPr>
        <w:spacing w:after="0"/>
      </w:pPr>
    </w:p>
    <w:p>
      <w:pPr>
        <w:spacing w:after="120"/>
      </w:pPr>
      <w:r>
        <w:rPr>
          <w:rFonts w:ascii="Arial" w:cs="Arial" w:eastAsia="Arial" w:hAnsi="Arial"/>
          <w:sz w:val="22"/>
          <w:szCs w:val="22"/>
        </w:rPr>
        <w:t xml:space="preserve">You will be redirected to UNC SSO login. Use your UNC ONYEN and password. After login, the full paper is accessible.</w:t>
      </w:r>
    </w:p>
    <w:p>
      <w:pPr>
        <w:spacing w:after="0"/>
      </w:pPr>
    </w:p>
    <w:p>
      <w:pPr>
        <w:pStyle w:val="Heading2"/>
        <w:spacing w:after="120" w:before="240"/>
      </w:pPr>
      <w:r>
        <w:rPr>
          <w:rFonts w:ascii="Arial" w:cs="Arial" w:eastAsia="Arial" w:hAnsi="Arial"/>
          <w:b/>
          <w:bCs/>
          <w:color w:val="2E5FA3"/>
          <w:sz w:val="24"/>
          <w:szCs w:val="24"/>
        </w:rPr>
        <w:t xml:space="preserve">Method 2: UNC Library Search</w:t>
      </w:r>
    </w:p>
    <w:p>
      <w:pPr>
        <w:pStyle w:val="ListParagraph"/>
        <w:numPr>
          <w:ilvl w:val="0"/>
          <w:numId w:val="3"/>
        </w:numPr>
        <w:spacing w:after="80"/>
      </w:pPr>
      <w:r>
        <w:rPr>
          <w:rFonts w:ascii="Arial" w:cs="Arial" w:eastAsia="Arial" w:hAnsi="Arial"/>
          <w:sz w:val="22"/>
          <w:szCs w:val="22"/>
        </w:rPr>
        <w:t xml:space="preserve">Go to library.unc.edu</w:t>
      </w:r>
    </w:p>
    <w:p>
      <w:pPr>
        <w:pStyle w:val="ListParagraph"/>
        <w:numPr>
          <w:ilvl w:val="0"/>
          <w:numId w:val="3"/>
        </w:numPr>
        <w:spacing w:after="80"/>
      </w:pPr>
      <w:r>
        <w:rPr>
          <w:rFonts w:ascii="Arial" w:cs="Arial" w:eastAsia="Arial" w:hAnsi="Arial"/>
          <w:sz w:val="22"/>
          <w:szCs w:val="22"/>
        </w:rPr>
        <w:t xml:space="preserve">Click 'Articles &amp; Databases'</w:t>
      </w:r>
    </w:p>
    <w:p>
      <w:pPr>
        <w:pStyle w:val="ListParagraph"/>
        <w:numPr>
          <w:ilvl w:val="0"/>
          <w:numId w:val="3"/>
        </w:numPr>
        <w:spacing w:after="80"/>
      </w:pPr>
      <w:r>
        <w:rPr>
          <w:rFonts w:ascii="Arial" w:cs="Arial" w:eastAsia="Arial" w:hAnsi="Arial"/>
          <w:sz w:val="22"/>
          <w:szCs w:val="22"/>
        </w:rPr>
        <w:t xml:space="preserve">Search for the journal name (e.g., 'Journal of the American Chemical Society')</w:t>
      </w:r>
    </w:p>
    <w:p>
      <w:pPr>
        <w:pStyle w:val="ListParagraph"/>
        <w:numPr>
          <w:ilvl w:val="0"/>
          <w:numId w:val="3"/>
        </w:numPr>
        <w:spacing w:after="80"/>
      </w:pPr>
      <w:r>
        <w:rPr>
          <w:rFonts w:ascii="Arial" w:cs="Arial" w:eastAsia="Arial" w:hAnsi="Arial"/>
          <w:sz w:val="22"/>
          <w:szCs w:val="22"/>
        </w:rPr>
        <w:t xml:space="preserve">Navigate to the specific issue and article</w:t>
      </w:r>
    </w:p>
    <w:p>
      <w:pPr>
        <w:spacing w:after="0"/>
      </w:pPr>
    </w:p>
    <w:p>
      <w:pPr>
        <w:pStyle w:val="Heading2"/>
        <w:spacing w:after="120" w:before="240"/>
      </w:pPr>
      <w:r>
        <w:rPr>
          <w:rFonts w:ascii="Arial" w:cs="Arial" w:eastAsia="Arial" w:hAnsi="Arial"/>
          <w:b/>
          <w:bCs/>
          <w:color w:val="2E5FA3"/>
          <w:sz w:val="24"/>
          <w:szCs w:val="24"/>
        </w:rPr>
        <w:t xml:space="preserve">Method 3: Email the Corresponding Author</w:t>
      </w:r>
    </w:p>
    <w:p>
      <w:pPr>
        <w:spacing w:after="120"/>
      </w:pPr>
      <w:r>
        <w:rPr>
          <w:rFonts w:ascii="Arial" w:cs="Arial" w:eastAsia="Arial" w:hAnsi="Arial"/>
          <w:sz w:val="22"/>
          <w:szCs w:val="22"/>
        </w:rPr>
        <w:t xml:space="preserve">Silvia Osuna's email (from UdG website): silvia.osuna@udg.edu</w:t>
      </w:r>
    </w:p>
    <w:p>
      <w:pPr>
        <w:spacing w:after="120"/>
      </w:pPr>
      <w:r>
        <w:rPr>
          <w:rFonts w:ascii="Arial" w:cs="Arial" w:eastAsia="Arial" w:hAnsi="Arial"/>
          <w:sz w:val="22"/>
          <w:szCs w:val="22"/>
        </w:rPr>
        <w:t xml:space="preserve">Standard academic practice: emailing corresponding authors for a copy of their published paper is entirely acceptable and almost always gets a response within 24-48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Suggested Email Template</w:t>
            </w:r>
          </w:p>
          <w:p>
            <w:pPr>
              <w:spacing w:after="0"/>
            </w:pPr>
            <w:r>
              <w:rPr>
                <w:rFonts w:ascii="Arial" w:cs="Arial" w:eastAsia="Arial" w:hAnsi="Arial"/>
                <w:sz w:val="22"/>
                <w:szCs w:val="22"/>
              </w:rPr>
              <w:t xml:space="preserve">Subject: Request for PDF — [Paper Title]
Dear Prof. Osuna,
I am Zhenpeng Liu, an undergraduate researcher at UNC Chapel Hill currently working on a MetaDynamics project related to TrpB enzyme design. I would be grateful if you could send me a copy of your 2019 JACS paper '[title]' (DOI: 10.1021/jacs.9b03646). Thank you very much for your time.
Best regards,
Zhenpeng Liu</w:t>
            </w:r>
          </w:p>
        </w:tc>
      </w:tr>
    </w:tbl>
    <w:p>
      <w:pPr>
        <w:spacing w:after="0"/>
      </w:pPr>
    </w:p>
    <w:p>
      <w:pPr>
        <w:pStyle w:val="Heading2"/>
        <w:spacing w:after="120" w:before="240"/>
      </w:pPr>
      <w:r>
        <w:rPr>
          <w:rFonts w:ascii="Arial" w:cs="Arial" w:eastAsia="Arial" w:hAnsi="Arial"/>
          <w:b/>
          <w:bCs/>
          <w:color w:val="2E5FA3"/>
          <w:sz w:val="24"/>
          <w:szCs w:val="24"/>
        </w:rPr>
        <w:t xml:space="preserve">Method 4: Open Access Papers (No Login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Paper</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ACS Catal 2021 (CC-BY)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pubs.acs.org/doi/10.1021/acscatal.1c03950 — open directly in browser</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Protein Sci 2022 (PMC)</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pmc.ncbi.nlm.nih.gov/articles/PMC9601780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Nature Commun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nature.com/articles/s41467-026-68384-6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spacing w:before="6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tabs>
        <w:tab w:val="right" w:pos="9360"/>
      </w:tabs>
      <w:spacing w:after="60"/>
    </w:pPr>
    <w:r>
      <w:rPr>
        <w:rFonts w:ascii="Arial" w:cs="Arial" w:eastAsia="Arial" w:hAnsi="Arial"/>
        <w:color w:val="595959"/>
        <w:sz w:val="18"/>
        <w:szCs w:val="18"/>
      </w:rPr>
      <w:t xml:space="preserve">Osuna Lab Paper Digest — TrpB MetaDynamics Research</w:t>
    </w:r>
    <w:r>
      <w:rPr>
        <w:rFonts w:ascii="Arial" w:cs="Arial" w:eastAsia="Arial" w:hAnsi="Arial"/>
        <w:sz w:val="18"/>
        <w:szCs w:val="18"/>
      </w:rPr>
      <w:t xml:space="preserve">	</w:t>
    </w:r>
    <w:r>
      <w:rPr>
        <w:rFonts w:ascii="Arial" w:cs="Arial" w:eastAsia="Arial" w:hAnsi="Arial"/>
        <w:b/>
        <w:bCs/>
        <w:color w:val="2E5FA3"/>
        <w:sz w:val="18"/>
        <w:szCs w:val="18"/>
      </w:rPr>
      <w:t xml:space="preserve">Zhenpeng Liu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2026-03-18T23:34:43.565Z</dcterms:created>
  <dcterms:modified xsi:type="dcterms:W3CDTF">2026-03-18T23:34:43.566Z</dcterms:modified>
</cp:coreProperties>
</file>

<file path=docProps/custom.xml><?xml version="1.0" encoding="utf-8"?>
<Properties xmlns="http://schemas.openxmlformats.org/officeDocument/2006/custom-properties" xmlns:vt="http://schemas.openxmlformats.org/officeDocument/2006/docPropsVTypes"/>
</file>