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1F3864"/>
          <w:sz w:val="52"/>
          <w:szCs w:val="52"/>
        </w:rPr>
        <w:t xml:space="preserve">TrpB × MetaDynamics ×</w:t>
      </w:r>
    </w:p>
    <w:p>
      <w:pPr>
        <w:spacing w:after="120" w:before="0"/>
        <w:jc w:val="center"/>
      </w:pPr>
      <w:r>
        <w:rPr>
          <w:rFonts w:ascii="Arial" w:cs="Arial" w:eastAsia="Arial" w:hAnsi="Arial"/>
          <w:b/>
          <w:bCs/>
          <w:color w:val="2E5FA3"/>
          <w:sz w:val="52"/>
          <w:szCs w:val="52"/>
        </w:rPr>
        <w:t xml:space="preserve">De Novo Enzyme Design</w:t>
      </w:r>
    </w:p>
    <w:p>
      <w:pPr>
        <w:spacing w:after="480" w:before="0"/>
        <w:jc w:val="center"/>
      </w:pPr>
      <w:r>
        <w:rPr>
          <w:rFonts w:ascii="Arial" w:cs="Arial" w:eastAsia="Arial" w:hAnsi="Arial"/>
          <w:i/>
          <w:iCs/>
          <w:color w:val="595959"/>
          <w:sz w:val="32"/>
          <w:szCs w:val="32"/>
        </w:rPr>
        <w:t xml:space="preserve">Deep Research Review</w:t>
      </w:r>
    </w:p>
    <w:p>
      <w:pPr>
        <w:pBdr>
          <w:bottom w:val="single" w:color="2E5FA3" w:sz="4"/>
        </w:pBdr>
        <w:spacing w:after="120" w:before="120"/>
      </w:pPr>
    </w:p>
    <w:p>
      <w:pPr>
        <w:spacing w:after="120" w:before="240"/>
        <w:jc w:val="center"/>
      </w:pPr>
      <w:r>
        <w:rPr>
          <w:rFonts w:ascii="Arial" w:cs="Arial" w:eastAsia="Arial" w:hAnsi="Arial"/>
          <w:color w:val="595959"/>
          <w:sz w:val="24"/>
          <w:szCs w:val="24"/>
        </w:rPr>
        <w:t xml:space="preserve">Zhenpeng Liu | UNC Chapel Hill</w:t>
      </w:r>
    </w:p>
    <w:p>
      <w:pPr>
        <w:spacing w:after="120" w:before="0"/>
        <w:jc w:val="center"/>
      </w:pPr>
      <w:r>
        <w:rPr>
          <w:rFonts w:ascii="Arial" w:cs="Arial" w:eastAsia="Arial" w:hAnsi="Arial"/>
          <w:color w:val="595959"/>
          <w:sz w:val="22"/>
          <w:szCs w:val="22"/>
        </w:rPr>
        <w:t xml:space="preserve">MetaDynamics Project Onboarding — March 2026</w:t>
      </w:r>
    </w:p>
    <w:p>
      <w:pPr>
        <w:spacing w:after="3600" w:before="0"/>
        <w:jc w:val="center"/>
      </w:pPr>
      <w:r>
        <w:rPr>
          <w:rFonts w:ascii="Arial" w:cs="Arial" w:eastAsia="Arial" w:hAnsi="Arial"/>
          <w:i/>
          <w:iCs/>
          <w:color w:val="888888"/>
          <w:sz w:val="20"/>
          <w:szCs w:val="20"/>
        </w:rPr>
        <w:t xml:space="preserve">Based on the Osuna Lab (Silvia Osuna, Universitat de Girona / ICREA)</w:t>
      </w:r>
    </w:p>
    <w:p>
      <w:r>
        <w:br w:type="page"/>
      </w:r>
    </w:p>
    <w:p>
      <w:pPr>
        <w:pStyle w:val="Heading1"/>
        <w:spacing w:after="180" w:before="360"/>
      </w:pPr>
      <w:r>
        <w:rPr>
          <w:rFonts w:ascii="Arial" w:cs="Arial" w:eastAsia="Arial" w:hAnsi="Arial"/>
          <w:b/>
          <w:bCs/>
          <w:color w:val="1F3864"/>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28"/>
          <w:szCs w:val="28"/>
        </w:rPr>
        <w:t xml:space="preserve">Chapter 1: Tryptophan Synthase β-Subunit (TrpB) — Biology &amp; Mechanism</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1.1 What Is TrpB?</w:t>
      </w:r>
    </w:p>
    <w:p>
      <w:pPr>
        <w:spacing w:after="120"/>
      </w:pPr>
      <w:r>
        <w:rPr>
          <w:rFonts w:ascii="Arial" w:cs="Arial" w:eastAsia="Arial" w:hAnsi="Arial"/>
          <w:sz w:val="22"/>
          <w:szCs w:val="22"/>
        </w:rPr>
        <w:t xml:space="preserve">TrpB (Tryptophan Synthase β-subunit) is a pyridoxal 5′-phosphate (PLP)-dependent enzyme that catalyzes the final step in L-tryptophan biosynthesis. In nature, it works as part of a heterotetrameric complex (αββα) together with TrpA.</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Subunit</w:t>
            </w:r>
          </w:p>
        </w:tc>
        <w:tc>
          <w:tcPr>
            <w:tcW w:type="dxa" w:w="47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Reaction Catalyzed</w:t>
            </w:r>
          </w:p>
        </w:tc>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TrpA (α)</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Indole-3-glycerol phosphate → Indole + G3P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Indole (channeled)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TrpB (β)</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Indole + L-Ser → L-Trp  (C–C bond)</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L-Tryptophan</w:t>
            </w:r>
          </w:p>
        </w:tc>
      </w:tr>
    </w:tbl>
    <w:p>
      <w:pPr>
        <w:spacing w:after="0"/>
      </w:pPr>
    </w:p>
    <w:p>
      <w:pPr>
        <w:spacing w:after="120"/>
      </w:pPr>
      <w:r>
        <w:rPr>
          <w:rFonts w:ascii="Arial" w:cs="Arial" w:eastAsia="Arial" w:hAnsi="Arial"/>
          <w:sz w:val="22"/>
          <w:szCs w:val="22"/>
        </w:rPr>
        <w:t xml:space="preserve">The two subunits communicate via a ~25 Å hydrophobic tunnel: indole produced by TrpA is channeled directly into TrpB's active site without diffusing into solution — this is called substrate channeling.</w:t>
      </w:r>
    </w:p>
    <w:p>
      <w:pPr>
        <w:pStyle w:val="Heading2"/>
        <w:spacing w:after="120" w:before="240"/>
      </w:pPr>
      <w:r>
        <w:rPr>
          <w:rFonts w:ascii="Arial" w:cs="Arial" w:eastAsia="Arial" w:hAnsi="Arial"/>
          <w:b/>
          <w:bCs/>
          <w:color w:val="2E5FA3"/>
          <w:sz w:val="24"/>
          <w:szCs w:val="24"/>
        </w:rPr>
        <w:t xml:space="preserve">1.2 PLP Chemistry &amp; the Catalytic Cycle</w:t>
      </w:r>
    </w:p>
    <w:p>
      <w:pPr>
        <w:spacing w:after="120"/>
      </w:pPr>
      <w:r>
        <w:rPr>
          <w:rFonts w:ascii="Arial" w:cs="Arial" w:eastAsia="Arial" w:hAnsi="Arial"/>
          <w:sz w:val="22"/>
          <w:szCs w:val="22"/>
        </w:rPr>
        <w:t xml:space="preserve">PLP remains covalently bound to K82 throughout the catalytic cycle via a Schiff-base (internal aldimine). The catalytic cycle proceeds through five spectroscopically distinguishable intermediates:</w:t>
      </w:r>
    </w:p>
    <w:p>
      <w:pPr>
        <w:spacing w:after="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200"/>
        <w:gridCol w:w="1700"/>
      </w:tblGrid>
      <w:tr>
        <w:tc>
          <w:tcPr>
            <w:tcW w:type="dxa" w:w="1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λmax (nm)</w:t>
            </w:r>
          </w:p>
        </w:tc>
        <w:tc>
          <w:tcPr>
            <w:tcW w:type="dxa" w:w="4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7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 Domain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E(Ain)</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412</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Resting state: PLP–K82 Schiff base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E(Aex1)</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428</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L-Ser binds, transimination forms PLP–Ser</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Partially Closed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E(Q1)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470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Quinonoid intermediate, Cα deprotonation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Partially Closed</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E(A-A)</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350</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Amino-acrylate: electrophile awaiting indole</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FULLY CLOSED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E(Q2/Q3)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476</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Indole attacks; new C–C bond formed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KEY INSIGHT: Why E(A-A) is the critical checkpoint</w:t>
            </w:r>
          </w:p>
          <w:p>
            <w:pPr>
              <w:spacing w:after="0"/>
            </w:pPr>
            <w:r>
              <w:rPr>
                <w:rFonts w:ascii="Arial" w:cs="Arial" w:eastAsia="Arial" w:hAnsi="Arial"/>
                <w:sz w:val="22"/>
                <w:szCs w:val="22"/>
              </w:rPr>
              <w:t xml:space="preserve">The amino-acrylate E(A-A) must form while the COMM domain is FULLY CLOSED. If the COMM domain cannot reach the closed state, water attacks E(A-A) instead of indole, producing pyruvate + NH₃ (a dead-end side reaction). This means COMM domain closure is a prerequisite for productive catalysis.</w:t>
            </w:r>
          </w:p>
        </w:tc>
      </w:tr>
    </w:tbl>
    <w:p>
      <w:pPr>
        <w:spacing w:after="0"/>
      </w:pPr>
    </w:p>
    <w:p>
      <w:pPr>
        <w:spacing w:after="120"/>
      </w:pPr>
      <w:r>
        <w:rPr>
          <w:rFonts w:ascii="Arial" w:cs="Arial" w:eastAsia="Arial" w:hAnsi="Arial"/>
          <w:b/>
          <w:bCs/>
          <w:sz w:val="22"/>
          <w:szCs w:val="22"/>
        </w:rPr>
        <w:t xml:space="preserve">Critical active-site residues: </w:t>
      </w:r>
      <w:r>
        <w:rPr>
          <w:rFonts w:ascii="Arial" w:cs="Arial" w:eastAsia="Arial" w:hAnsi="Arial"/>
          <w:sz w:val="22"/>
          <w:szCs w:val="22"/>
        </w:rPr>
        <w:t xml:space="preserve">K82 </w:t>
      </w:r>
      <w:r>
        <w:rPr>
          <w:rFonts w:ascii="Arial" w:cs="Arial" w:eastAsia="Arial" w:hAnsi="Arial"/>
          <w:color w:val="595959"/>
          <w:sz w:val="22"/>
          <w:szCs w:val="22"/>
        </w:rPr>
        <w:t xml:space="preserve">(PLP anchor, all transimination steps)</w:t>
      </w:r>
      <w:r>
        <w:rPr>
          <w:rFonts w:ascii="Arial" w:cs="Arial" w:eastAsia="Arial" w:hAnsi="Arial"/>
          <w:sz w:val="22"/>
          <w:szCs w:val="22"/>
        </w:rPr>
        <w:t xml:space="preserve"> | E104 </w:t>
      </w:r>
      <w:r>
        <w:rPr>
          <w:rFonts w:ascii="Arial" w:cs="Arial" w:eastAsia="Arial" w:hAnsi="Arial"/>
          <w:color w:val="595959"/>
          <w:sz w:val="22"/>
          <w:szCs w:val="22"/>
        </w:rPr>
        <w:t xml:space="preserve">(regioselectivity: enforces C3 attack vs. N1)</w:t>
      </w:r>
      <w:r>
        <w:rPr>
          <w:rFonts w:ascii="Arial" w:cs="Arial" w:eastAsia="Arial" w:hAnsi="Arial"/>
          <w:sz w:val="22"/>
          <w:szCs w:val="22"/>
        </w:rPr>
        <w:t xml:space="preserve"> | R141, D305 </w:t>
      </w:r>
      <w:r>
        <w:rPr>
          <w:rFonts w:ascii="Arial" w:cs="Arial" w:eastAsia="Arial" w:hAnsi="Arial"/>
          <w:color w:val="595959"/>
          <w:sz w:val="22"/>
          <w:szCs w:val="22"/>
        </w:rPr>
        <w:t xml:space="preserve">(COMM salt bridge in closed state)</w:t>
      </w:r>
    </w:p>
    <w:p>
      <w:pPr>
        <w:pStyle w:val="Heading2"/>
        <w:spacing w:after="120" w:before="240"/>
      </w:pPr>
      <w:r>
        <w:rPr>
          <w:rFonts w:ascii="Arial" w:cs="Arial" w:eastAsia="Arial" w:hAnsi="Arial"/>
          <w:b/>
          <w:bCs/>
          <w:color w:val="2E5FA3"/>
          <w:sz w:val="24"/>
          <w:szCs w:val="24"/>
        </w:rPr>
        <w:t xml:space="preserve">1.3 The COMM Domain — The Heart of the Problem</w:t>
      </w:r>
    </w:p>
    <w:p>
      <w:pPr>
        <w:spacing w:after="120"/>
      </w:pPr>
      <w:r>
        <w:rPr>
          <w:rFonts w:ascii="Arial" w:cs="Arial" w:eastAsia="Arial" w:hAnsi="Arial"/>
          <w:sz w:val="22"/>
          <w:szCs w:val="22"/>
        </w:rPr>
        <w:t xml:space="preserve">The Communication Domain (COMM domain, residues ~100–150 in PfTrpB) is a flexible loop that undergoes rigid-body motion during catalysis. Understanding its conformational states is essential for this entire project.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2000"/>
        <w:gridCol w:w="3060"/>
      </w:tblGrid>
      <w:tr>
        <w:tc>
          <w:tcPr>
            <w:tcW w:type="dxa" w:w="1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31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Residues Forming Key Contacts</w:t>
            </w:r>
          </w:p>
        </w:tc>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Catalytic Stage</w:t>
            </w:r>
          </w:p>
        </w:tc>
        <w:tc>
          <w:tcPr>
            <w:tcW w:type="dxa" w:w="30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Energy in FEL</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R141 — D305 far apart, no salt bridge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E(Ain) resting</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Deepest in wt-TrpB</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Partially Closed</w:t>
            </w:r>
          </w:p>
        </w:tc>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Asp300–L-Ser H-bond; first contacts form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E(Aex1), E(Q1)</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R141–D305 salt bridge; S297–S299 H-bonds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E(A-A), E(Q2/Q3)</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Deepest in LBCA-TrpB</w:t>
            </w:r>
          </w:p>
        </w:tc>
      </w:tr>
    </w:tbl>
    <w:p>
      <w:pPr>
        <w:pStyle w:val="Heading2"/>
        <w:spacing w:after="120" w:before="240"/>
      </w:pPr>
      <w:r>
        <w:rPr>
          <w:rFonts w:ascii="Arial" w:cs="Arial" w:eastAsia="Arial" w:hAnsi="Arial"/>
          <w:b/>
          <w:bCs/>
          <w:color w:val="2E5FA3"/>
          <w:sz w:val="24"/>
          <w:szCs w:val="24"/>
        </w:rPr>
        <w:t xml:space="preserve">1.4 The Allosteric Activation Problem</w:t>
      </w:r>
    </w:p>
    <w:p>
      <w:pPr>
        <w:spacing w:after="120"/>
      </w:pPr>
      <w:r>
        <w:rPr>
          <w:rFonts w:ascii="Arial" w:cs="Arial" w:eastAsia="Arial" w:hAnsi="Arial"/>
          <w:sz w:val="22"/>
          <w:szCs w:val="22"/>
        </w:rPr>
        <w:t xml:space="preserve">Standalone TrpB (without TrpA) is 100-fold less active because the COMM domain cannot efficiently reach the closed state alone. TrpA acts as an allosteric activator by physically pushing the COMM domain toward closure.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Arnold Lab Breakthrough (PNAS 2015)</w:t>
            </w:r>
          </w:p>
          <w:p>
            <w:pPr>
              <w:spacing w:after="0"/>
            </w:pPr>
            <w:r>
              <w:rPr>
                <w:rFonts w:ascii="Arial" w:cs="Arial" w:eastAsia="Arial" w:hAnsi="Arial"/>
                <w:sz w:val="22"/>
                <w:szCs w:val="22"/>
              </w:rPr>
              <w:t xml:space="preserve">Only 3 rounds of directed evolution and 6 mutations in PfTrpB produced the standalone variant 0B2-TrpB with 83-fold kcat improvement. These mutations recapitulate TrpA's allosteric effect — they stabilize the COMM domain closed state without TrpA.</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Osuna Lab Breakthrough (ACS Catal 2021)</w:t>
            </w:r>
          </w:p>
          <w:p>
            <w:pPr>
              <w:spacing w:after="0"/>
            </w:pPr>
            <w:r>
              <w:rPr>
                <w:rFonts w:ascii="Arial" w:cs="Arial" w:eastAsia="Arial" w:hAnsi="Arial"/>
                <w:sz w:val="22"/>
                <w:szCs w:val="22"/>
              </w:rPr>
              <w:t xml:space="preserve">By running MetaDynamics on multiple TrpB variants and applying the Shortest Path Map (SPM) method, they predicted 1 computational variant (SPM6-TrpB) with 7-fold kcat improvement — testing only 1 variant instead of 3,000.</w:t>
            </w:r>
          </w:p>
        </w:tc>
      </w:tr>
    </w:tbl>
    <w:p>
      <w:pPr>
        <w:pStyle w:val="Heading2"/>
        <w:spacing w:after="120" w:before="240"/>
      </w:pPr>
      <w:r>
        <w:rPr>
          <w:rFonts w:ascii="Arial" w:cs="Arial" w:eastAsia="Arial" w:hAnsi="Arial"/>
          <w:b/>
          <w:bCs/>
          <w:color w:val="2E5FA3"/>
          <w:sz w:val="24"/>
          <w:szCs w:val="24"/>
        </w:rPr>
        <w:t xml:space="preserve">1.5 Expanded Biocatalytic Scope of Engineered TrpB</w:t>
      </w:r>
    </w:p>
    <w:p>
      <w:pPr>
        <w:spacing w:after="120"/>
      </w:pPr>
      <w:r>
        <w:rPr>
          <w:rFonts w:ascii="Arial" w:cs="Arial" w:eastAsia="Arial" w:hAnsi="Arial"/>
          <w:sz w:val="22"/>
          <w:szCs w:val="22"/>
        </w:rPr>
        <w:t xml:space="preserve">Once freed from TrpA dependency, engineered TrpB variants have been shown to accept a remarkable diversity of substrates:</w:t>
      </w:r>
    </w:p>
    <w:p>
      <w:pPr>
        <w:pStyle w:val="ListParagraph"/>
        <w:numPr>
          <w:ilvl w:val="0"/>
          <w:numId w:val="2"/>
        </w:numPr>
        <w:spacing w:after="80"/>
      </w:pPr>
      <w:r>
        <w:rPr>
          <w:rFonts w:ascii="Arial" w:cs="Arial" w:eastAsia="Arial" w:hAnsi="Arial"/>
          <w:sz w:val="22"/>
          <w:szCs w:val="22"/>
        </w:rPr>
        <w:t xml:space="preserve">Halogenated indoles (F, Cl, Br, I at positions 4–7)</w:t>
      </w:r>
    </w:p>
    <w:p>
      <w:pPr>
        <w:pStyle w:val="ListParagraph"/>
        <w:numPr>
          <w:ilvl w:val="0"/>
          <w:numId w:val="2"/>
        </w:numPr>
        <w:spacing w:after="80"/>
      </w:pPr>
      <w:r>
        <w:rPr>
          <w:rFonts w:ascii="Arial" w:cs="Arial" w:eastAsia="Arial" w:hAnsi="Arial"/>
          <w:sz w:val="22"/>
          <w:szCs w:val="22"/>
        </w:rPr>
        <w:t xml:space="preserve">Aza-indoles, benzofurans, benzothiophenes</w:t>
      </w:r>
    </w:p>
    <w:p>
      <w:pPr>
        <w:pStyle w:val="ListParagraph"/>
        <w:numPr>
          <w:ilvl w:val="0"/>
          <w:numId w:val="2"/>
        </w:numPr>
        <w:spacing w:after="80"/>
      </w:pPr>
      <w:r>
        <w:rPr>
          <w:rFonts w:ascii="Arial" w:cs="Arial" w:eastAsia="Arial" w:hAnsi="Arial"/>
          <w:sz w:val="22"/>
          <w:szCs w:val="22"/>
        </w:rPr>
        <w:t xml:space="preserve">Non-indole nucleophiles: nitroalkanes, oxindoles → quaternary stereocenters</w:t>
      </w:r>
    </w:p>
    <w:p>
      <w:pPr>
        <w:pStyle w:val="ListParagraph"/>
        <w:numPr>
          <w:ilvl w:val="0"/>
          <w:numId w:val="2"/>
        </w:numPr>
        <w:spacing w:after="80"/>
      </w:pPr>
      <w:r>
        <w:rPr>
          <w:rFonts w:ascii="Arial" w:cs="Arial" w:eastAsia="Arial" w:hAnsi="Arial"/>
          <w:sz w:val="22"/>
          <w:szCs w:val="22"/>
        </w:rPr>
        <w:t xml:space="preserve">β-branched serine analogs: threonine, β-ethylserine, β-propylserine</w:t>
      </w:r>
    </w:p>
    <w:p>
      <w:pPr>
        <w:spacing w:after="120"/>
      </w:pPr>
      <w:r>
        <w:rPr>
          <w:rFonts w:ascii="Arial" w:cs="Arial" w:eastAsia="Arial" w:hAnsi="Arial"/>
          <w:sz w:val="22"/>
          <w:szCs w:val="22"/>
        </w:rPr>
        <w:t xml:space="preserve">Over 70 non-canonical amino acids (ncAAs) can now be synthesized using engineered TrpB variants.</w:t>
      </w:r>
    </w:p>
    <w:p>
      <w:r>
        <w:br w:type="page"/>
      </w:r>
    </w:p>
    <w:p>
      <w:pPr>
        <w:pStyle w:val="Heading1"/>
        <w:spacing w:after="180" w:before="360"/>
      </w:pPr>
      <w:r>
        <w:rPr>
          <w:rFonts w:ascii="Arial" w:cs="Arial" w:eastAsia="Arial" w:hAnsi="Arial"/>
          <w:b/>
          <w:bCs/>
          <w:color w:val="1F3864"/>
          <w:sz w:val="28"/>
          <w:szCs w:val="28"/>
        </w:rPr>
        <w:t xml:space="preserve">Chapter 2: Why D-Tryptophan? — The Stereochemical Target</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2.1 L-Trp vs. D-Trp: Mirror-Image Worlds</w:t>
      </w:r>
    </w:p>
    <w:p>
      <w:pPr>
        <w:spacing w:after="120"/>
      </w:pPr>
      <w:r>
        <w:rPr>
          <w:rFonts w:ascii="Arial" w:cs="Arial" w:eastAsia="Arial" w:hAnsi="Arial"/>
          <w:sz w:val="22"/>
          <w:szCs w:val="22"/>
        </w:rPr>
        <w:t xml:space="preserve">L-Trp (S-configuration) and D-Trp (R-configuration) are enantiomers. While chemically identical in achiral environments, their biological properties differ fundamentally.</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348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L-Trp</w:t>
            </w:r>
          </w:p>
        </w:tc>
        <w:tc>
          <w:tcPr>
            <w:tcW w:type="dxa" w:w="348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D-Trp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Configuration (CIP)</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Natural abundance</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Universal proteinogenic AA</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Rare; gut microbiome metabolite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Taste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Bitter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 sweeter than sucrose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TrpB activity</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Natural product (kcat normal)</w:t>
            </w:r>
          </w:p>
        </w:tc>
        <w:tc>
          <w:tcPr>
            <w:tcW w:type="dxa" w:w="34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NOT produced by natural TrpB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Pharmaceutical value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Serotonin precursor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Antimicrobial, immunomodulatory, anticancer precursor</w:t>
            </w:r>
          </w:p>
        </w:tc>
      </w:tr>
    </w:tbl>
    <w:p>
      <w:pPr>
        <w:pStyle w:val="Heading2"/>
        <w:spacing w:after="120" w:before="240"/>
      </w:pPr>
      <w:r>
        <w:rPr>
          <w:rFonts w:ascii="Arial" w:cs="Arial" w:eastAsia="Arial" w:hAnsi="Arial"/>
          <w:b/>
          <w:bCs/>
          <w:color w:val="2E5FA3"/>
          <w:sz w:val="24"/>
          <w:szCs w:val="24"/>
        </w:rPr>
        <w:t xml:space="preserve">2.2 The Importance of D-Trp</w:t>
      </w:r>
    </w:p>
    <w:p>
      <w:pPr>
        <w:spacing w:after="120"/>
      </w:pPr>
      <w:r>
        <w:rPr>
          <w:rFonts w:ascii="Arial" w:cs="Arial" w:eastAsia="Arial" w:hAnsi="Arial"/>
          <w:sz w:val="22"/>
          <w:szCs w:val="22"/>
        </w:rPr>
        <w:t xml:space="preserve">Recent systematic review (Frontiers in Microbiology 2024, 865 papers analyzed) documents D-Trp's roles across multiple disease areas:</w:t>
      </w:r>
    </w:p>
    <w:p>
      <w:pPr>
        <w:pStyle w:val="ListParagraph"/>
        <w:numPr>
          <w:ilvl w:val="0"/>
          <w:numId w:val="2"/>
        </w:numPr>
        <w:spacing w:after="80"/>
      </w:pPr>
      <w:r>
        <w:rPr>
          <w:rFonts w:ascii="Arial" w:cs="Arial" w:eastAsia="Arial" w:hAnsi="Arial"/>
          <w:sz w:val="22"/>
          <w:szCs w:val="22"/>
        </w:rPr>
        <w:t xml:space="preserve">Immune regulation: increases Treg cells in lungs/intestine, reduces Th2 response in asthma</w:t>
      </w:r>
    </w:p>
    <w:p>
      <w:pPr>
        <w:pStyle w:val="ListParagraph"/>
        <w:numPr>
          <w:ilvl w:val="0"/>
          <w:numId w:val="2"/>
        </w:numPr>
        <w:spacing w:after="80"/>
      </w:pPr>
      <w:r>
        <w:rPr>
          <w:rFonts w:ascii="Arial" w:cs="Arial" w:eastAsia="Arial" w:hAnsi="Arial"/>
          <w:sz w:val="22"/>
          <w:szCs w:val="22"/>
        </w:rPr>
        <w:t xml:space="preserve">Antimicrobial: inhibits biofilm formation in Pseudomonas, Staphylococcus at 40 mM</w:t>
      </w:r>
    </w:p>
    <w:p>
      <w:pPr>
        <w:pStyle w:val="ListParagraph"/>
        <w:numPr>
          <w:ilvl w:val="0"/>
          <w:numId w:val="2"/>
        </w:numPr>
        <w:spacing w:after="80"/>
      </w:pPr>
      <w:r>
        <w:rPr>
          <w:rFonts w:ascii="Arial" w:cs="Arial" w:eastAsia="Arial" w:hAnsi="Arial"/>
          <w:sz w:val="22"/>
          <w:szCs w:val="22"/>
        </w:rPr>
        <w:t xml:space="preserve">Oncology: precursor for anticancer drug synthesis</w:t>
      </w:r>
    </w:p>
    <w:p>
      <w:pPr>
        <w:pStyle w:val="ListParagraph"/>
        <w:numPr>
          <w:ilvl w:val="0"/>
          <w:numId w:val="2"/>
        </w:numPr>
        <w:spacing w:after="80"/>
      </w:pPr>
      <w:r>
        <w:rPr>
          <w:rFonts w:ascii="Arial" w:cs="Arial" w:eastAsia="Arial" w:hAnsi="Arial"/>
          <w:sz w:val="22"/>
          <w:szCs w:val="22"/>
        </w:rPr>
        <w:t xml:space="preserve">Bone health / cardiovascular / anti-tuberculosis applications</w:t>
      </w:r>
    </w:p>
    <w:p>
      <w:pPr>
        <w:pStyle w:val="ListParagraph"/>
        <w:numPr>
          <w:ilvl w:val="0"/>
          <w:numId w:val="2"/>
        </w:numPr>
        <w:spacing w:after="80"/>
      </w:pPr>
      <w:r>
        <w:rPr>
          <w:rFonts w:ascii="Arial" w:cs="Arial" w:eastAsia="Arial" w:hAnsi="Arial"/>
          <w:sz w:val="22"/>
          <w:szCs w:val="22"/>
        </w:rPr>
        <w:t xml:space="preserve">Food industry: non-nutritive sweetener and food preservative</w:t>
      </w:r>
    </w:p>
    <w:p>
      <w:pPr>
        <w:spacing w:after="0"/>
      </w:pPr>
    </w:p>
    <w:p>
      <w:pPr>
        <w:spacing w:after="120"/>
      </w:pPr>
      <w:r>
        <w:rPr>
          <w:rFonts w:ascii="Arial" w:cs="Arial" w:eastAsia="Arial" w:hAnsi="Arial"/>
          <w:sz w:val="22"/>
          <w:szCs w:val="22"/>
        </w:rPr>
        <w:t xml:space="preserve">D-Trp is also a key chiral building block for D-Trp-containing bioactive peptides — a growing class of therapeutics.</w:t>
      </w:r>
    </w:p>
    <w:p>
      <w:pPr>
        <w:pStyle w:val="Heading2"/>
        <w:spacing w:after="120" w:before="240"/>
      </w:pPr>
      <w:r>
        <w:rPr>
          <w:rFonts w:ascii="Arial" w:cs="Arial" w:eastAsia="Arial" w:hAnsi="Arial"/>
          <w:b/>
          <w:bCs/>
          <w:color w:val="2E5FA3"/>
          <w:sz w:val="24"/>
          <w:szCs w:val="24"/>
        </w:rPr>
        <w:t xml:space="preserve">2.3 Why Directly Engineering TrpB Is the Best Strategy</w:t>
      </w:r>
    </w:p>
    <w:p>
      <w:pPr>
        <w:spacing w:after="120"/>
      </w:pPr>
      <w:r>
        <w:rPr>
          <w:rFonts w:ascii="Arial" w:cs="Arial" w:eastAsia="Arial" w:hAnsi="Arial"/>
          <w:sz w:val="22"/>
          <w:szCs w:val="22"/>
        </w:rPr>
        <w:t xml:space="preserve">Current methods for D-Trp synthesis all have significant drawbacks: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36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Drawbacks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Chemical asymmetric synthesis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Chiral auxiliaries or asymmetric catalysis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Multi-step, poor ee, expensive, not scalable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DL-Trp resolution</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Synthesize racemate, then separate enantiomers</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50% yield maximum, wasteful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Enzyme cascade (current best)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TrpB → L-Trp, then LAAD deamination, then DAAT re-amination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enzymes, lower overall yield, complex optimization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Direct D-selective TrpB (target)</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Single enzyme, direct D-Trp synthesis</w:t>
            </w:r>
          </w:p>
        </w:tc>
        <w:tc>
          <w:tcPr>
            <w:tcW w:type="dxa" w:w="3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Does not exist yet — this is your project</w:t>
            </w:r>
          </w:p>
        </w:tc>
      </w:tr>
    </w:tbl>
    <w:p>
      <w:pPr>
        <w:pStyle w:val="Heading2"/>
        <w:spacing w:after="120" w:before="240"/>
      </w:pPr>
      <w:r>
        <w:rPr>
          <w:rFonts w:ascii="Arial" w:cs="Arial" w:eastAsia="Arial" w:hAnsi="Arial"/>
          <w:b/>
          <w:bCs/>
          <w:color w:val="2E5FA3"/>
          <w:sz w:val="24"/>
          <w:szCs w:val="24"/>
        </w:rPr>
        <w:t xml:space="preserve">2.4 The Stereochemistry Problem: Why It Is Hard</w:t>
      </w:r>
    </w:p>
    <w:p>
      <w:pPr>
        <w:spacing w:after="120"/>
      </w:pPr>
      <w:r>
        <w:rPr>
          <w:rFonts w:ascii="Arial" w:cs="Arial" w:eastAsia="Arial" w:hAnsi="Arial"/>
          <w:sz w:val="22"/>
          <w:szCs w:val="22"/>
        </w:rPr>
        <w:t xml:space="preserve">TrpB's stereoselectivity arises from the geometry of indole attack on E(A-A). In the natural enzyme:</w:t>
      </w:r>
    </w:p>
    <w:p>
      <w:pPr>
        <w:pStyle w:val="ListParagraph"/>
        <w:numPr>
          <w:ilvl w:val="0"/>
          <w:numId w:val="2"/>
        </w:numPr>
        <w:spacing w:after="80"/>
      </w:pPr>
      <w:r>
        <w:rPr>
          <w:rFonts w:ascii="Arial" w:cs="Arial" w:eastAsia="Arial" w:hAnsi="Arial"/>
          <w:sz w:val="22"/>
          <w:szCs w:val="22"/>
        </w:rPr>
        <w:t xml:space="preserve">The PLP-Ser Schiff base plane defines the substrate face</w:t>
      </w:r>
    </w:p>
    <w:p>
      <w:pPr>
        <w:pStyle w:val="ListParagraph"/>
        <w:numPr>
          <w:ilvl w:val="0"/>
          <w:numId w:val="2"/>
        </w:numPr>
        <w:spacing w:after="80"/>
      </w:pPr>
      <w:r>
        <w:rPr>
          <w:rFonts w:ascii="Arial" w:cs="Arial" w:eastAsia="Arial" w:hAnsi="Arial"/>
          <w:sz w:val="22"/>
          <w:szCs w:val="22"/>
        </w:rPr>
        <w:t xml:space="preserve">Active site geometry forces indole to approach from the si face → L-Trp (S-configuration)</w:t>
      </w:r>
    </w:p>
    <w:p>
      <w:pPr>
        <w:pStyle w:val="ListParagraph"/>
        <w:numPr>
          <w:ilvl w:val="0"/>
          <w:numId w:val="2"/>
        </w:numPr>
        <w:spacing w:after="80"/>
      </w:pPr>
      <w:r>
        <w:rPr>
          <w:rFonts w:ascii="Arial" w:cs="Arial" w:eastAsia="Arial" w:hAnsi="Arial"/>
          <w:sz w:val="22"/>
          <w:szCs w:val="22"/>
        </w:rPr>
        <w:t xml:space="preserve">Re-face attack (needed for D-Trp) requires complete inversion of approach geometry</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6"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The Core Challenge for De Novo Design</w:t>
            </w:r>
          </w:p>
          <w:p>
            <w:pPr>
              <w:spacing w:after="0"/>
            </w:pPr>
            <w:r>
              <w:rPr>
                <w:rFonts w:ascii="Arial" w:cs="Arial" w:eastAsia="Arial" w:hAnsi="Arial"/>
                <w:sz w:val="22"/>
                <w:szCs w:val="22"/>
              </w:rPr>
              <w:t xml:space="preserve">Flipping stereoselectivity from L to D is not achievable by a few point mutations to the existing TrpB fold — the entire active site geometry must be redesigned to position indole for re-face attack. This is why your supervisor's group uses de novo protein design (RFDiffusion2) rather than directed evolution.</w:t>
            </w:r>
          </w:p>
        </w:tc>
      </w:tr>
    </w:tbl>
    <w:p>
      <w:r>
        <w:br w:type="page"/>
      </w:r>
    </w:p>
    <w:p>
      <w:pPr>
        <w:pStyle w:val="Heading1"/>
        <w:spacing w:after="180" w:before="360"/>
      </w:pPr>
      <w:r>
        <w:rPr>
          <w:rFonts w:ascii="Arial" w:cs="Arial" w:eastAsia="Arial" w:hAnsi="Arial"/>
          <w:b/>
          <w:bCs/>
          <w:color w:val="1F3864"/>
          <w:sz w:val="28"/>
          <w:szCs w:val="28"/>
        </w:rPr>
        <w:t xml:space="preserve">Chapter 3: Silvia Osuna's Research — MetaDynamics in TrpB Design</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3.1 Who Is Silvia Osuna?</w:t>
      </w:r>
    </w:p>
    <w:p>
      <w:pPr>
        <w:spacing w:after="120"/>
      </w:pPr>
      <w:r>
        <w:rPr>
          <w:rFonts w:ascii="Arial" w:cs="Arial" w:eastAsia="Arial" w:hAnsi="Arial"/>
          <w:sz w:val="22"/>
          <w:szCs w:val="22"/>
        </w:rPr>
        <w:t xml:space="preserve">Silvia Osuna is an ICREA Research Professor at the Institut de Química Computacional i Catàlisi (IQCC), Universitat de Girona, Spain. She is one of the world's leading experts on computational enzyme design through conformational dynamics analysis.</w:t>
      </w:r>
    </w:p>
    <w:p>
      <w:pPr>
        <w:spacing w:after="120"/>
      </w:pPr>
      <w:r>
        <w:rPr>
          <w:rFonts w:ascii="Arial" w:cs="Arial" w:eastAsia="Arial" w:hAnsi="Arial"/>
          <w:sz w:val="22"/>
          <w:szCs w:val="22"/>
        </w:rPr>
        <w:t xml:space="preserve">Her core thesis: catalytic efficiency is determined not just by static active-site geometry, but by the conformational ensemble — the distribution of thermally accessible conformations and their relative free energies.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Osuna Lab Core Philosophy</w:t>
            </w:r>
          </w:p>
          <w:p>
            <w:pPr>
              <w:spacing w:after="0"/>
            </w:pPr>
            <w:r>
              <w:rPr>
                <w:rFonts w:ascii="Arial" w:cs="Arial" w:eastAsia="Arial" w:hAnsi="Arial"/>
                <w:sz w:val="22"/>
                <w:szCs w:val="22"/>
              </w:rPr>
              <w:t xml:space="preserve">"Converting computational enzyme design into a population shift problem: catalytically productive conformational states must be stabilized, while non-productive states are disfavored. MetaDynamics is the tool that reveals which conformations exist and how stable they are."</w:t>
            </w:r>
          </w:p>
        </w:tc>
      </w:tr>
    </w:tbl>
    <w:p>
      <w:pPr>
        <w:pStyle w:val="Heading2"/>
        <w:spacing w:after="120" w:before="240"/>
      </w:pPr>
      <w:r>
        <w:rPr>
          <w:rFonts w:ascii="Arial" w:cs="Arial" w:eastAsia="Arial" w:hAnsi="Arial"/>
          <w:b/>
          <w:bCs/>
          <w:color w:val="2E5FA3"/>
          <w:sz w:val="24"/>
          <w:szCs w:val="24"/>
        </w:rPr>
        <w:t xml:space="preserve">3.2 Key Papers — Annotated Summary</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spacing w:after="60"/>
            </w:pPr>
            <w:r>
              <w:rPr>
                <w:rFonts w:ascii="Arial" w:cs="Arial" w:eastAsia="Arial" w:hAnsi="Arial"/>
                <w:b/>
                <w:bCs/>
                <w:color w:val="2E5FA3"/>
                <w:sz w:val="20"/>
                <w:szCs w:val="20"/>
              </w:rPr>
              <w:t xml:space="preserve">Paper 1</w:t>
            </w:r>
          </w:p>
          <w:p>
            <w:pPr>
              <w:spacing w:after="60"/>
            </w:pPr>
            <w:r>
              <w:rPr>
                <w:rFonts w:ascii="Arial" w:cs="Arial" w:eastAsia="Arial" w:hAnsi="Arial"/>
                <w:b/>
                <w:bCs/>
                <w:sz w:val="22"/>
                <w:szCs w:val="22"/>
              </w:rPr>
              <w:t xml:space="preserve">Deciphering the Allosterically Driven Conformational Ensemble in Tryptophan Synthase Evolution</w:t>
            </w:r>
          </w:p>
          <w:p>
            <w:pPr>
              <w:spacing w:after="60"/>
            </w:pPr>
            <w:r>
              <w:rPr>
                <w:rFonts w:ascii="Arial" w:cs="Arial" w:eastAsia="Arial" w:hAnsi="Arial"/>
                <w:i/>
                <w:iCs/>
                <w:sz w:val="20"/>
                <w:szCs w:val="20"/>
              </w:rPr>
              <w:t xml:space="preserve">Maria-Solano, Iglesias-Fernández &amp; Osuna</w:t>
            </w:r>
          </w:p>
          <w:p>
            <w:pPr>
              <w:spacing w:after="60"/>
            </w:pPr>
            <w:r>
              <w:rPr>
                <w:rFonts w:ascii="Arial" w:cs="Arial" w:eastAsia="Arial" w:hAnsi="Arial"/>
                <w:color w:val="595959"/>
                <w:sz w:val="20"/>
                <w:szCs w:val="20"/>
              </w:rPr>
              <w:t xml:space="preserve">J. Am. Chem. Soc. 2019, 141(33), 13049–13056</w:t>
            </w:r>
          </w:p>
          <w:p>
            <w:pPr>
              <w:spacing w:after="0"/>
            </w:pPr>
            <w:r>
              <w:rPr>
                <w:rFonts w:ascii="Arial" w:cs="Arial" w:eastAsia="Arial" w:hAnsi="Arial"/>
                <w:color w:val="888888"/>
                <w:sz w:val="20"/>
                <w:szCs w:val="20"/>
              </w:rPr>
              <w:t xml:space="preserve">DOI: 10.1021/jacs.9b03646</w:t>
            </w:r>
          </w:p>
        </w:tc>
      </w:tr>
    </w:tbl>
    <w:p>
      <w:pPr>
        <w:spacing w:after="0"/>
      </w:pPr>
    </w:p>
    <w:p>
      <w:pPr>
        <w:pStyle w:val="Heading3"/>
        <w:spacing w:after="80" w:before="180"/>
      </w:pPr>
      <w:r>
        <w:rPr>
          <w:rFonts w:ascii="Arial" w:cs="Arial" w:eastAsia="Arial" w:hAnsi="Arial"/>
          <w:b/>
          <w:bCs/>
          <w:color w:val="595959"/>
          <w:sz w:val="22"/>
          <w:szCs w:val="22"/>
        </w:rPr>
        <w:t xml:space="preserve">What They Did</w:t>
      </w:r>
    </w:p>
    <w:p>
      <w:pPr>
        <w:spacing w:after="120"/>
      </w:pPr>
      <w:r>
        <w:rPr>
          <w:rFonts w:ascii="Arial" w:cs="Arial" w:eastAsia="Arial" w:hAnsi="Arial"/>
          <w:sz w:val="22"/>
          <w:szCs w:val="22"/>
        </w:rPr>
        <w:t xml:space="preserve">Applied well-tempered multiple-walker MetaDynamics to reconstruct the free-energy landscape (FEL) of the COMM domain for four TrpB systems: wild-type PfTrpB (standalone), LBCA-TrpB, 0B2-TrpB, and TrpS complex.</w:t>
      </w:r>
    </w:p>
    <w:p>
      <w:pPr>
        <w:pStyle w:val="Heading3"/>
        <w:spacing w:after="80" w:before="180"/>
      </w:pPr>
      <w:r>
        <w:rPr>
          <w:rFonts w:ascii="Arial" w:cs="Arial" w:eastAsia="Arial" w:hAnsi="Arial"/>
          <w:b/>
          <w:bCs/>
          <w:color w:val="595959"/>
          <w:sz w:val="22"/>
          <w:szCs w:val="22"/>
        </w:rPr>
        <w:t xml:space="preserve">Key Finding</w:t>
      </w:r>
    </w:p>
    <w:p>
      <w:pPr>
        <w:spacing w:after="120"/>
      </w:pPr>
      <w:r>
        <w:rPr>
          <w:rFonts w:ascii="Arial" w:cs="Arial" w:eastAsia="Arial" w:hAnsi="Arial"/>
          <w:sz w:val="22"/>
          <w:szCs w:val="22"/>
        </w:rPr>
        <w:t xml:space="preserve">The FEL shows that catalytically active standalone variants (LBCA-TrpB, 0B2-TrpB) have a deeply stable COMM closed state, while wt-TrpB has a shallow closed state. The closed state stability directly correlates with kcat.</w:t>
      </w:r>
    </w:p>
    <w:p>
      <w:pPr>
        <w:pStyle w:val="Heading3"/>
        <w:spacing w:after="80" w:before="180"/>
      </w:pPr>
      <w:r>
        <w:rPr>
          <w:rFonts w:ascii="Arial" w:cs="Arial" w:eastAsia="Arial" w:hAnsi="Arial"/>
          <w:b/>
          <w:bCs/>
          <w:color w:val="595959"/>
          <w:sz w:val="22"/>
          <w:szCs w:val="22"/>
        </w:rPr>
        <w:t xml:space="preserve">What This Means for Your Project</w:t>
      </w:r>
    </w:p>
    <w:p>
      <w:pPr>
        <w:spacing w:after="120"/>
      </w:pPr>
      <w:r>
        <w:rPr>
          <w:rFonts w:ascii="Arial" w:cs="Arial" w:eastAsia="Arial" w:hAnsi="Arial"/>
          <w:sz w:val="22"/>
          <w:szCs w:val="22"/>
        </w:rPr>
        <w:t xml:space="preserve">This is the template for your MetaDynamics work. The CV they used (open-to-closed path of the COMM domain), the software stack (GROMACS + PLUMED), and the well-tempered multiple-walkers setup are what you will replicate first.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spacing w:after="60"/>
            </w:pPr>
            <w:r>
              <w:rPr>
                <w:rFonts w:ascii="Arial" w:cs="Arial" w:eastAsia="Arial" w:hAnsi="Arial"/>
                <w:b/>
                <w:bCs/>
                <w:color w:val="2E5FA3"/>
                <w:sz w:val="20"/>
                <w:szCs w:val="20"/>
              </w:rPr>
              <w:t xml:space="preserve">Paper 2</w:t>
            </w:r>
          </w:p>
          <w:p>
            <w:pPr>
              <w:spacing w:after="60"/>
            </w:pPr>
            <w:r>
              <w:rPr>
                <w:rFonts w:ascii="Arial" w:cs="Arial" w:eastAsia="Arial" w:hAnsi="Arial"/>
                <w:b/>
                <w:bCs/>
                <w:sz w:val="22"/>
                <w:szCs w:val="22"/>
              </w:rPr>
              <w:t xml:space="preserve">In Silico Identification and Experimental Validation of Distal Activity-Enhancing Mutations in Tryptophan Synthase</w:t>
            </w:r>
          </w:p>
          <w:p>
            <w:pPr>
              <w:spacing w:after="60"/>
            </w:pPr>
            <w:r>
              <w:rPr>
                <w:rFonts w:ascii="Arial" w:cs="Arial" w:eastAsia="Arial" w:hAnsi="Arial"/>
                <w:i/>
                <w:iCs/>
                <w:sz w:val="20"/>
                <w:szCs w:val="20"/>
              </w:rPr>
              <w:t xml:space="preserve">Maria-Solano, Kinateder, Iglesias-Fernández, Sterner &amp; Osuna</w:t>
            </w:r>
          </w:p>
          <w:p>
            <w:pPr>
              <w:spacing w:after="60"/>
            </w:pPr>
            <w:r>
              <w:rPr>
                <w:rFonts w:ascii="Arial" w:cs="Arial" w:eastAsia="Arial" w:hAnsi="Arial"/>
                <w:color w:val="595959"/>
                <w:sz w:val="20"/>
                <w:szCs w:val="20"/>
              </w:rPr>
              <w:t xml:space="preserve">ACS Catalysis 2021, 11, 13733–13743</w:t>
            </w:r>
          </w:p>
          <w:p>
            <w:pPr>
              <w:spacing w:after="0"/>
            </w:pPr>
            <w:r>
              <w:rPr>
                <w:rFonts w:ascii="Arial" w:cs="Arial" w:eastAsia="Arial" w:hAnsi="Arial"/>
                <w:color w:val="888888"/>
                <w:sz w:val="20"/>
                <w:szCs w:val="20"/>
              </w:rPr>
              <w:t xml:space="preserve">DOI: 10.1021/acscatal.1c03950</w:t>
            </w:r>
          </w:p>
        </w:tc>
      </w:tr>
    </w:tbl>
    <w:p>
      <w:pPr>
        <w:spacing w:after="0"/>
      </w:pPr>
    </w:p>
    <w:p>
      <w:pPr>
        <w:pStyle w:val="Heading3"/>
        <w:spacing w:after="80" w:before="180"/>
      </w:pPr>
      <w:r>
        <w:rPr>
          <w:rFonts w:ascii="Arial" w:cs="Arial" w:eastAsia="Arial" w:hAnsi="Arial"/>
          <w:b/>
          <w:bCs/>
          <w:color w:val="595959"/>
          <w:sz w:val="22"/>
          <w:szCs w:val="22"/>
        </w:rPr>
        <w:t xml:space="preserve">What They Did</w:t>
      </w:r>
    </w:p>
    <w:p>
      <w:pPr>
        <w:spacing w:after="120"/>
      </w:pPr>
      <w:r>
        <w:rPr>
          <w:rFonts w:ascii="Arial" w:cs="Arial" w:eastAsia="Arial" w:hAnsi="Arial"/>
          <w:sz w:val="22"/>
          <w:szCs w:val="22"/>
        </w:rPr>
        <w:t xml:space="preserve">Developed the Shortest Path Map (SPM) method: from regular MD trajectories, built a residue communication graph and identified the shortest paths between the active site and the COMM domain. Mutations on this path are predicted to affect catalytic dynamics.</w:t>
      </w:r>
    </w:p>
    <w:p>
      <w:pPr>
        <w:pStyle w:val="Heading3"/>
        <w:spacing w:after="80" w:before="180"/>
      </w:pPr>
      <w:r>
        <w:rPr>
          <w:rFonts w:ascii="Arial" w:cs="Arial" w:eastAsia="Arial" w:hAnsi="Arial"/>
          <w:b/>
          <w:bCs/>
          <w:color w:val="595959"/>
          <w:sz w:val="22"/>
          <w:szCs w:val="22"/>
        </w:rPr>
        <w:t xml:space="preserve">Key Finding</w:t>
      </w:r>
    </w:p>
    <w:p>
      <w:pPr>
        <w:spacing w:after="120"/>
      </w:pPr>
      <w:r>
        <w:rPr>
          <w:rFonts w:ascii="Arial" w:cs="Arial" w:eastAsia="Arial" w:hAnsi="Arial"/>
          <w:sz w:val="22"/>
          <w:szCs w:val="22"/>
        </w:rPr>
        <w:t xml:space="preserve">Testing only 1 computationally designed variant (SPM6-TrpB) achieved 7-fold kcat improvement — equivalent to screening &gt;3,000 variants by directed evolution.</w:t>
      </w:r>
    </w:p>
    <w:p>
      <w:pPr>
        <w:pStyle w:val="Heading3"/>
        <w:spacing w:after="80" w:before="180"/>
      </w:pPr>
      <w:r>
        <w:rPr>
          <w:rFonts w:ascii="Arial" w:cs="Arial" w:eastAsia="Arial" w:hAnsi="Arial"/>
          <w:b/>
          <w:bCs/>
          <w:color w:val="595959"/>
          <w:sz w:val="22"/>
          <w:szCs w:val="22"/>
        </w:rPr>
        <w:t xml:space="preserve">SPM Algorithm (Step-by-Step)</w:t>
      </w:r>
    </w:p>
    <w:p>
      <w:pPr>
        <w:pStyle w:val="ListParagraph"/>
        <w:numPr>
          <w:ilvl w:val="0"/>
          <w:numId w:val="3"/>
        </w:numPr>
        <w:spacing w:after="80"/>
      </w:pPr>
      <w:r>
        <w:rPr>
          <w:rFonts w:ascii="Arial" w:cs="Arial" w:eastAsia="Arial" w:hAnsi="Arial"/>
          <w:sz w:val="22"/>
          <w:szCs w:val="22"/>
        </w:rPr>
        <w:t xml:space="preserve">Run 50–200 ns regular MD on the TrpB system</w:t>
      </w:r>
    </w:p>
    <w:p>
      <w:pPr>
        <w:pStyle w:val="ListParagraph"/>
        <w:numPr>
          <w:ilvl w:val="0"/>
          <w:numId w:val="3"/>
        </w:numPr>
        <w:spacing w:after="80"/>
      </w:pPr>
      <w:r>
        <w:rPr>
          <w:rFonts w:ascii="Arial" w:cs="Arial" w:eastAsia="Arial" w:hAnsi="Arial"/>
          <w:sz w:val="22"/>
          <w:szCs w:val="22"/>
        </w:rPr>
        <w:t xml:space="preserve">Compute residue-pairwise Dynamic Cross-Correlation Matrix (DCCM)</w:t>
      </w:r>
    </w:p>
    <w:p>
      <w:pPr>
        <w:pStyle w:val="ListParagraph"/>
        <w:numPr>
          <w:ilvl w:val="0"/>
          <w:numId w:val="3"/>
        </w:numPr>
        <w:spacing w:after="80"/>
      </w:pPr>
      <w:r>
        <w:rPr>
          <w:rFonts w:ascii="Arial" w:cs="Arial" w:eastAsia="Arial" w:hAnsi="Arial"/>
          <w:sz w:val="22"/>
          <w:szCs w:val="22"/>
        </w:rPr>
        <w:t xml:space="preserve">Convert DCCM to weighted graph (nodes = residues, edge weights = correlation)</w:t>
      </w:r>
    </w:p>
    <w:p>
      <w:pPr>
        <w:pStyle w:val="ListParagraph"/>
        <w:numPr>
          <w:ilvl w:val="0"/>
          <w:numId w:val="3"/>
        </w:numPr>
        <w:spacing w:after="80"/>
      </w:pPr>
      <w:r>
        <w:rPr>
          <w:rFonts w:ascii="Arial" w:cs="Arial" w:eastAsia="Arial" w:hAnsi="Arial"/>
          <w:sz w:val="22"/>
          <w:szCs w:val="22"/>
        </w:rPr>
        <w:t xml:space="preserve">Find shortest path (Dijkstra algorithm) from active site → COMM domain</w:t>
      </w:r>
    </w:p>
    <w:p>
      <w:pPr>
        <w:pStyle w:val="ListParagraph"/>
        <w:numPr>
          <w:ilvl w:val="0"/>
          <w:numId w:val="3"/>
        </w:numPr>
        <w:spacing w:after="80"/>
      </w:pPr>
      <w:r>
        <w:rPr>
          <w:rFonts w:ascii="Arial" w:cs="Arial" w:eastAsia="Arial" w:hAnsi="Arial"/>
          <w:sz w:val="22"/>
          <w:szCs w:val="22"/>
        </w:rPr>
        <w:t xml:space="preserve">Residues on path = candidate mutation sites</w:t>
      </w:r>
    </w:p>
    <w:p>
      <w:pPr>
        <w:pStyle w:val="ListParagraph"/>
        <w:numPr>
          <w:ilvl w:val="0"/>
          <w:numId w:val="3"/>
        </w:numPr>
        <w:spacing w:after="80"/>
      </w:pPr>
      <w:r>
        <w:rPr>
          <w:rFonts w:ascii="Arial" w:cs="Arial" w:eastAsia="Arial" w:hAnsi="Arial"/>
          <w:sz w:val="22"/>
          <w:szCs w:val="22"/>
        </w:rPr>
        <w:t xml:space="preserve">Run MetaDynamics on predicted variants to validate FEL shift</w:t>
      </w:r>
    </w:p>
    <w:p>
      <w:pPr>
        <w:pStyle w:val="ListParagraph"/>
        <w:numPr>
          <w:ilvl w:val="0"/>
          <w:numId w:val="3"/>
        </w:numPr>
        <w:spacing w:after="80"/>
      </w:pPr>
      <w:r>
        <w:rPr>
          <w:rFonts w:ascii="Arial" w:cs="Arial" w:eastAsia="Arial" w:hAnsi="Arial"/>
          <w:sz w:val="22"/>
          <w:szCs w:val="22"/>
        </w:rPr>
        <w:t xml:space="preserve">Experimental validation (wet lab kcat measurement)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spacing w:after="60"/>
            </w:pPr>
            <w:r>
              <w:rPr>
                <w:rFonts w:ascii="Arial" w:cs="Arial" w:eastAsia="Arial" w:hAnsi="Arial"/>
                <w:b/>
                <w:bCs/>
                <w:color w:val="2E5FA3"/>
                <w:sz w:val="20"/>
                <w:szCs w:val="20"/>
              </w:rPr>
              <w:t xml:space="preserve">Paper 3</w:t>
            </w:r>
          </w:p>
          <w:p>
            <w:pPr>
              <w:spacing w:after="60"/>
            </w:pPr>
            <w:r>
              <w:rPr>
                <w:rFonts w:ascii="Arial" w:cs="Arial" w:eastAsia="Arial" w:hAnsi="Arial"/>
                <w:b/>
                <w:bCs/>
                <w:sz w:val="22"/>
                <w:szCs w:val="22"/>
              </w:rPr>
              <w:t xml:space="preserve">Estimating Conformational Heterogeneity of Tryptophan Synthase with a Template-Based AlphaFold2 Approach</w:t>
            </w:r>
          </w:p>
          <w:p>
            <w:pPr>
              <w:spacing w:after="60"/>
            </w:pPr>
            <w:r>
              <w:rPr>
                <w:rFonts w:ascii="Arial" w:cs="Arial" w:eastAsia="Arial" w:hAnsi="Arial"/>
                <w:i/>
                <w:iCs/>
                <w:sz w:val="20"/>
                <w:szCs w:val="20"/>
              </w:rPr>
              <w:t xml:space="preserve">Casadevall, Duran, Estévez-Gay &amp; Osuna</w:t>
            </w:r>
          </w:p>
          <w:p>
            <w:pPr>
              <w:spacing w:after="60"/>
            </w:pPr>
            <w:r>
              <w:rPr>
                <w:rFonts w:ascii="Arial" w:cs="Arial" w:eastAsia="Arial" w:hAnsi="Arial"/>
                <w:color w:val="595959"/>
                <w:sz w:val="20"/>
                <w:szCs w:val="20"/>
              </w:rPr>
              <w:t xml:space="preserve">Protein Science 2022, 31, e4426</w:t>
            </w:r>
          </w:p>
          <w:p>
            <w:pPr>
              <w:spacing w:after="0"/>
            </w:pPr>
            <w:r>
              <w:rPr>
                <w:rFonts w:ascii="Arial" w:cs="Arial" w:eastAsia="Arial" w:hAnsi="Arial"/>
                <w:color w:val="888888"/>
                <w:sz w:val="20"/>
                <w:szCs w:val="20"/>
              </w:rPr>
              <w:t xml:space="preserve">DOI: 10.1002/pro.4426</w:t>
            </w:r>
          </w:p>
        </w:tc>
      </w:tr>
    </w:tbl>
    <w:p>
      <w:pPr>
        <w:spacing w:after="0"/>
      </w:pPr>
    </w:p>
    <w:p>
      <w:pPr>
        <w:pStyle w:val="Heading3"/>
        <w:spacing w:after="80" w:before="180"/>
      </w:pPr>
      <w:r>
        <w:rPr>
          <w:rFonts w:ascii="Arial" w:cs="Arial" w:eastAsia="Arial" w:hAnsi="Arial"/>
          <w:b/>
          <w:bCs/>
          <w:color w:val="595959"/>
          <w:sz w:val="22"/>
          <w:szCs w:val="22"/>
        </w:rPr>
        <w:t xml:space="preserve">What They Did</w:t>
      </w:r>
    </w:p>
    <w:p>
      <w:pPr>
        <w:spacing w:after="120"/>
      </w:pPr>
      <w:r>
        <w:rPr>
          <w:rFonts w:ascii="Arial" w:cs="Arial" w:eastAsia="Arial" w:hAnsi="Arial"/>
          <w:sz w:val="22"/>
          <w:szCs w:val="22"/>
        </w:rPr>
        <w:t xml:space="preserve">Developed tAF2-MD: use AlphaFold2 with reduced MSA depth (32–64 sequences) and provide multiple conformational templates. Run 60 × 2 × 10 ns = 1,200 ns short MD from each AF2 structure to estimate the conformational landscape.</w:t>
      </w:r>
    </w:p>
    <w:p>
      <w:pPr>
        <w:pStyle w:val="Heading3"/>
        <w:spacing w:after="80" w:before="180"/>
      </w:pPr>
      <w:r>
        <w:rPr>
          <w:rFonts w:ascii="Arial" w:cs="Arial" w:eastAsia="Arial" w:hAnsi="Arial"/>
          <w:b/>
          <w:bCs/>
          <w:color w:val="595959"/>
          <w:sz w:val="22"/>
          <w:szCs w:val="22"/>
        </w:rPr>
        <w:t xml:space="preserve">Key Finding</w:t>
      </w:r>
    </w:p>
    <w:p>
      <w:pPr>
        <w:spacing w:after="120"/>
      </w:pPr>
      <w:r>
        <w:rPr>
          <w:rFonts w:ascii="Arial" w:cs="Arial" w:eastAsia="Arial" w:hAnsi="Arial"/>
          <w:sz w:val="22"/>
          <w:szCs w:val="22"/>
        </w:rPr>
        <w:t xml:space="preserve">tAF2-MD qualitatively agrees with MetaDynamics FELs at much lower computational cost. Best used for rapid screening of many variants; full MetaDynamics needed for quantitative free energies.</w:t>
      </w:r>
    </w:p>
    <w:p>
      <w:pPr>
        <w:pStyle w:val="Heading3"/>
        <w:spacing w:after="80" w:before="180"/>
      </w:pPr>
      <w:r>
        <w:rPr>
          <w:rFonts w:ascii="Arial" w:cs="Arial" w:eastAsia="Arial" w:hAnsi="Arial"/>
          <w:b/>
          <w:bCs/>
          <w:color w:val="595959"/>
          <w:sz w:val="22"/>
          <w:szCs w:val="22"/>
        </w:rPr>
        <w:t xml:space="preserve">Your Application</w:t>
      </w:r>
    </w:p>
    <w:p>
      <w:pPr>
        <w:spacing w:after="120"/>
      </w:pPr>
      <w:r>
        <w:rPr>
          <w:rFonts w:ascii="Arial" w:cs="Arial" w:eastAsia="Arial" w:hAnsi="Arial"/>
          <w:sz w:val="22"/>
          <w:szCs w:val="22"/>
        </w:rPr>
        <w:t xml:space="preserve">Use tAF2-MD for first-pass screening of 100s of RFDiffusion2 design candidates. Use full MetaDynamics only for the top 10–20 candidates.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spacing w:after="60"/>
            </w:pPr>
            <w:r>
              <w:rPr>
                <w:rFonts w:ascii="Arial" w:cs="Arial" w:eastAsia="Arial" w:hAnsi="Arial"/>
                <w:b/>
                <w:bCs/>
                <w:color w:val="2E5FA3"/>
                <w:sz w:val="20"/>
                <w:szCs w:val="20"/>
              </w:rPr>
              <w:t xml:space="preserve">Paper 4</w:t>
            </w:r>
          </w:p>
          <w:p>
            <w:pPr>
              <w:spacing w:after="60"/>
            </w:pPr>
            <w:r>
              <w:rPr>
                <w:rFonts w:ascii="Arial" w:cs="Arial" w:eastAsia="Arial" w:hAnsi="Arial"/>
                <w:b/>
                <w:bCs/>
                <w:sz w:val="22"/>
                <w:szCs w:val="22"/>
              </w:rPr>
              <w:t xml:space="preserve">Harnessing Conformational Dynamics in Enzyme Catalysis: The Shortest Path Map Tool for Computational Enzyme Design</w:t>
            </w:r>
          </w:p>
          <w:p>
            <w:pPr>
              <w:spacing w:after="60"/>
            </w:pPr>
            <w:r>
              <w:rPr>
                <w:rFonts w:ascii="Arial" w:cs="Arial" w:eastAsia="Arial" w:hAnsi="Arial"/>
                <w:i/>
                <w:iCs/>
                <w:sz w:val="20"/>
                <w:szCs w:val="20"/>
              </w:rPr>
              <w:t xml:space="preserve">Duran, Casadevall &amp; Osuna</w:t>
            </w:r>
          </w:p>
          <w:p>
            <w:pPr>
              <w:spacing w:after="60"/>
            </w:pPr>
            <w:r>
              <w:rPr>
                <w:rFonts w:ascii="Arial" w:cs="Arial" w:eastAsia="Arial" w:hAnsi="Arial"/>
                <w:color w:val="595959"/>
                <w:sz w:val="20"/>
                <w:szCs w:val="20"/>
              </w:rPr>
              <w:t xml:space="preserve">Faraday Discussions 2024, 252, 306–322</w:t>
            </w:r>
          </w:p>
          <w:p>
            <w:pPr>
              <w:spacing w:after="0"/>
            </w:pPr>
            <w:r>
              <w:rPr>
                <w:rFonts w:ascii="Arial" w:cs="Arial" w:eastAsia="Arial" w:hAnsi="Arial"/>
                <w:color w:val="888888"/>
                <w:sz w:val="20"/>
                <w:szCs w:val="20"/>
              </w:rPr>
              <w:t xml:space="preserve">DOI: 10.1039/D3FD00156C</w:t>
            </w:r>
          </w:p>
        </w:tc>
      </w:tr>
    </w:tbl>
    <w:p>
      <w:pPr>
        <w:spacing w:after="0"/>
      </w:pPr>
    </w:p>
    <w:p>
      <w:pPr>
        <w:spacing w:after="120"/>
      </w:pPr>
      <w:r>
        <w:rPr>
          <w:rFonts w:ascii="Arial" w:cs="Arial" w:eastAsia="Arial" w:hAnsi="Arial"/>
          <w:sz w:val="22"/>
          <w:szCs w:val="22"/>
        </w:rPr>
        <w:t xml:space="preserve">Most recent SPM review and extension. Covers coupling SPM with tAF2 and discusses future directions for integration with AI-based design tools. Read this for the current state of Osuna's toolbox.</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SPM Web Server — Ready to Use Now</w:t>
            </w:r>
          </w:p>
          <w:p>
            <w:pPr>
              <w:spacing w:after="0"/>
            </w:pPr>
            <w:r>
              <w:rPr>
                <w:rFonts w:ascii="Arial" w:cs="Arial" w:eastAsia="Arial" w:hAnsi="Arial"/>
                <w:sz w:val="22"/>
                <w:szCs w:val="22"/>
              </w:rPr>
              <w:t xml:space="preserve">Osuna's group has deployed SPM as a public web server at: spmosuna.com
Input: PDB structure + MD trajectory | Output: residue communication network + candidate mutation sites
You can run this on any TrpB structure immediately.</w:t>
            </w:r>
          </w:p>
        </w:tc>
      </w:tr>
    </w:tbl>
    <w:p>
      <w:pPr>
        <w:pStyle w:val="Heading2"/>
        <w:spacing w:after="120" w:before="240"/>
      </w:pPr>
      <w:r>
        <w:rPr>
          <w:rFonts w:ascii="Arial" w:cs="Arial" w:eastAsia="Arial" w:hAnsi="Arial"/>
          <w:b/>
          <w:bCs/>
          <w:color w:val="2E5FA3"/>
          <w:sz w:val="24"/>
          <w:szCs w:val="24"/>
        </w:rPr>
        <w:t xml:space="preserve">3.3 Osuna Lab Technology Stack</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3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41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Details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GROMACS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MD engine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2022 or later recommended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PLUMED</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MetaDynamics plugin</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2.9.x (integrates with GROMACS)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AMBER 20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Alternative MD engine used in some papers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TrpB simulations in 2022 paper</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SPM Webserver</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Residue communication network</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spmosuna.com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AlphaFold2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Conformational landscape estimation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Template-based, reduced MSA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PLUMED sum_hills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FEL reconstruction post-simulation</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Built into PLUMED</w:t>
            </w:r>
          </w:p>
        </w:tc>
      </w:tr>
    </w:tbl>
    <w:p>
      <w:r>
        <w:br w:type="page"/>
      </w:r>
    </w:p>
    <w:p>
      <w:pPr>
        <w:pStyle w:val="Heading1"/>
        <w:spacing w:after="180" w:before="360"/>
      </w:pPr>
      <w:r>
        <w:rPr>
          <w:rFonts w:ascii="Arial" w:cs="Arial" w:eastAsia="Arial" w:hAnsi="Arial"/>
          <w:b/>
          <w:bCs/>
          <w:color w:val="1F3864"/>
          <w:sz w:val="28"/>
          <w:szCs w:val="28"/>
        </w:rPr>
        <w:t xml:space="preserve">Chapter 4: MetaDynamics — How It Works</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4.1 Why Standard MD Is Not Enough</w:t>
      </w:r>
    </w:p>
    <w:p>
      <w:pPr>
        <w:spacing w:after="120"/>
      </w:pPr>
      <w:r>
        <w:rPr>
          <w:rFonts w:ascii="Arial" w:cs="Arial" w:eastAsia="Arial" w:hAnsi="Arial"/>
          <w:sz w:val="22"/>
          <w:szCs w:val="22"/>
        </w:rPr>
        <w:t xml:space="preserve">Standard MD simulates atomic motion in 2-femtosecond steps. A typical simulation runs 100–500 ns — but COMM domain open→closed transitions happen on the microsecond–millisecond timescale, with energy barriers of 5–15 kcal/mol. Standard MD simply cannot cross these barriers in feasible simulation time.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0E6"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The Sampling Problem</w:t>
            </w:r>
          </w:p>
          <w:p>
            <w:pPr>
              <w:spacing w:after="0"/>
            </w:pPr>
            <w:r>
              <w:rPr>
                <w:rFonts w:ascii="Arial" w:cs="Arial" w:eastAsia="Arial" w:hAnsi="Arial"/>
                <w:sz w:val="22"/>
                <w:szCs w:val="22"/>
              </w:rPr>
              <w:t xml:space="preserve">At 300K, the probability of spontaneously crossing a 10 kcal/mol barrier is ~exp(-10/0.6) ≈ 10^-7 per attempt. With 500,000,000 steps in a 1 µs simulation, you get only ~50 crossing attempts — statistically impossible to sample properly.</w:t>
            </w:r>
          </w:p>
        </w:tc>
      </w:tr>
    </w:tbl>
    <w:p>
      <w:pPr>
        <w:pStyle w:val="Heading2"/>
        <w:spacing w:after="120" w:before="240"/>
      </w:pPr>
      <w:r>
        <w:rPr>
          <w:rFonts w:ascii="Arial" w:cs="Arial" w:eastAsia="Arial" w:hAnsi="Arial"/>
          <w:b/>
          <w:bCs/>
          <w:color w:val="2E5FA3"/>
          <w:sz w:val="24"/>
          <w:szCs w:val="24"/>
        </w:rPr>
        <w:t xml:space="preserve">4.2 MetaDynamics: The Core Idea</w:t>
      </w:r>
    </w:p>
    <w:p>
      <w:pPr>
        <w:spacing w:after="120"/>
      </w:pPr>
      <w:r>
        <w:rPr>
          <w:rFonts w:ascii="Arial" w:cs="Arial" w:eastAsia="Arial" w:hAnsi="Arial"/>
          <w:sz w:val="22"/>
          <w:szCs w:val="22"/>
        </w:rPr>
        <w:t xml:space="preserve">MetaDynamics (Laio &amp; Parrinello, 2002) escapes these kinetic traps by adding a history-dependent bias potential in the collective variable (CV) space:</w:t>
      </w:r>
    </w:p>
    <w:p>
      <w:pPr>
        <w:spacing w:after="0"/>
      </w:pPr>
    </w:p>
    <w:p>
      <w:pPr>
        <w:shd w:fill="F0F0F0" w:val="clear"/>
        <w:spacing w:after="120"/>
      </w:pPr>
      <w:r>
        <w:rPr>
          <w:rFonts w:ascii="Courier New" w:cs="Courier New" w:eastAsia="Courier New" w:hAnsi="Courier New"/>
          <w:color w:val="333333"/>
          <w:sz w:val="18"/>
          <w:szCs w:val="18"/>
        </w:rPr>
        <w:t xml:space="preserve">At current CV position s(t):
</w:t>
      </w:r>
      <w:r>
        <w:rPr>
          <w:rFonts w:ascii="Courier New" w:cs="Courier New" w:eastAsia="Courier New" w:hAnsi="Courier New"/>
          <w:color w:val="333333"/>
          <w:sz w:val="18"/>
          <w:szCs w:val="18"/>
        </w:rPr>
        <w:t xml:space="preserve">  → Add a Gaussian hill: V_G(s) += h × exp(-(s - s(t))² / 2σ²)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This 'fills in' the free-energy wells over time:
</w:t>
      </w:r>
      <w:r>
        <w:rPr>
          <w:rFonts w:ascii="Courier New" w:cs="Courier New" w:eastAsia="Courier New" w:hAnsi="Courier New"/>
          <w:color w:val="333333"/>
          <w:sz w:val="18"/>
          <w:szCs w:val="18"/>
        </w:rPr>
        <w:t xml:space="preserve">  → System escapes local minima and explores new regions
</w:t>
      </w:r>
      <w:r>
        <w:rPr>
          <w:rFonts w:ascii="Courier New" w:cs="Courier New" w:eastAsia="Courier New" w:hAnsi="Courier New"/>
          <w:color w:val="333333"/>
          <w:sz w:val="18"/>
          <w:szCs w:val="18"/>
        </w:rPr>
        <w:t xml:space="preserve">  → After long simulation: sum of Gaussians ≈ -F(s)
</w:t>
      </w:r>
      <w:r>
        <w:rPr>
          <w:rFonts w:ascii="Courier New" w:cs="Courier New" w:eastAsia="Courier New" w:hAnsi="Courier New"/>
          <w:color w:val="333333"/>
          <w:sz w:val="18"/>
          <w:szCs w:val="18"/>
        </w:rPr>
        <w:t xml:space="preserve">  → Free Energy Landscape (FEL) is reconstructed</w:t>
      </w:r>
    </w:p>
    <w:p>
      <w:pPr>
        <w:spacing w:after="0"/>
      </w:pPr>
    </w:p>
    <w:p>
      <w:pPr>
        <w:pStyle w:val="Heading3"/>
        <w:spacing w:after="80" w:before="180"/>
      </w:pPr>
      <w:r>
        <w:rPr>
          <w:rFonts w:ascii="Arial" w:cs="Arial" w:eastAsia="Arial" w:hAnsi="Arial"/>
          <w:b/>
          <w:bCs/>
          <w:color w:val="595959"/>
          <w:sz w:val="22"/>
          <w:szCs w:val="22"/>
        </w:rPr>
        <w:t xml:space="preserve">Well-Tempered MetaDynamics (WTMetaD) — The Version Osuna Uses</w:t>
      </w:r>
    </w:p>
    <w:p>
      <w:pPr>
        <w:spacing w:after="120"/>
      </w:pPr>
      <w:r>
        <w:rPr>
          <w:rFonts w:ascii="Arial" w:cs="Arial" w:eastAsia="Arial" w:hAnsi="Arial"/>
          <w:sz w:val="22"/>
          <w:szCs w:val="22"/>
        </w:rPr>
        <w:t xml:space="preserve">Problem with original MetaDynamics: Gaussian hills accumulate indefinitely and the simulation never converges. Solution (Barducci, Bussi &amp; Parrinello, PRL 2008): make the Gaussian height decay over time:</w:t>
      </w:r>
    </w:p>
    <w:p>
      <w:pPr>
        <w:spacing w:after="0"/>
      </w:pPr>
    </w:p>
    <w:p>
      <w:pPr>
        <w:shd w:fill="F0F0F0" w:val="clear"/>
        <w:spacing w:after="120"/>
      </w:pPr>
      <w:r>
        <w:rPr>
          <w:rFonts w:ascii="Courier New" w:cs="Courier New" w:eastAsia="Courier New" w:hAnsi="Courier New"/>
          <w:color w:val="333333"/>
          <w:sz w:val="18"/>
          <w:szCs w:val="18"/>
        </w:rPr>
        <w:t xml:space="preserve">h(t) = ω × exp(-V_G(s, t) / k_B × ΔT)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where:
</w:t>
      </w:r>
      <w:r>
        <w:rPr>
          <w:rFonts w:ascii="Courier New" w:cs="Courier New" w:eastAsia="Courier New" w:hAnsi="Courier New"/>
          <w:color w:val="333333"/>
          <w:sz w:val="18"/>
          <w:szCs w:val="18"/>
        </w:rPr>
        <w:t xml:space="preserve">  ω  = initial Gaussian height (HEIGHT in PLUMED)
</w:t>
      </w:r>
      <w:r>
        <w:rPr>
          <w:rFonts w:ascii="Courier New" w:cs="Courier New" w:eastAsia="Courier New" w:hAnsi="Courier New"/>
          <w:color w:val="333333"/>
          <w:sz w:val="18"/>
          <w:szCs w:val="18"/>
        </w:rPr>
        <w:t xml:space="preserve">  ΔT = bias temperature (set via BIASFACTOR = (T + ΔT) / T)
</w:t>
      </w:r>
      <w:r>
        <w:rPr>
          <w:rFonts w:ascii="Courier New" w:cs="Courier New" w:eastAsia="Courier New" w:hAnsi="Courier New"/>
          <w:color w:val="333333"/>
          <w:sz w:val="18"/>
          <w:szCs w:val="18"/>
        </w:rPr>
        <w:t xml:space="preserve">  k_B = Boltzmann constant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Effect: well-sampled regions get progressively smaller hills → converges smoothly</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BIASFACTOR Value</w:t>
            </w:r>
          </w:p>
        </w:tc>
        <w:tc>
          <w:tcPr>
            <w:tcW w:type="dxa" w:w="4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w:t>
            </w:r>
          </w:p>
        </w:tc>
        <w:tc>
          <w:tcPr>
            <w:tcW w:type="dxa" w:w="31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bias (standard MD)</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Never for MetaDynamics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5–10</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Mild bias, slow FEL exploration</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When energy barriers are small (&lt; 5 kcal/mol)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Standard for proteins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 domain transitions (recommended)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Standard MetaDynamics (no convergence)</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Avoid</w:t>
            </w:r>
          </w:p>
        </w:tc>
      </w:tr>
    </w:tbl>
    <w:p>
      <w:pPr>
        <w:pStyle w:val="Heading2"/>
        <w:spacing w:after="120" w:before="240"/>
      </w:pPr>
      <w:r>
        <w:rPr>
          <w:rFonts w:ascii="Arial" w:cs="Arial" w:eastAsia="Arial" w:hAnsi="Arial"/>
          <w:b/>
          <w:bCs/>
          <w:color w:val="2E5FA3"/>
          <w:sz w:val="24"/>
          <w:szCs w:val="24"/>
        </w:rPr>
        <w:t xml:space="preserve">4.3 Collective Variables (CVs) — The Critical Design Choice</w:t>
      </w:r>
    </w:p>
    <w:p>
      <w:pPr>
        <w:spacing w:after="120"/>
      </w:pPr>
      <w:r>
        <w:rPr>
          <w:rFonts w:ascii="Arial" w:cs="Arial" w:eastAsia="Arial" w:hAnsi="Arial"/>
          <w:sz w:val="22"/>
          <w:szCs w:val="22"/>
        </w:rPr>
        <w:t xml:space="preserve">CVs must capture the conformational change you care about. For TrpB COMM domain: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Type</w:t>
            </w:r>
          </w:p>
        </w:tc>
        <w:tc>
          <w:tcPr>
            <w:tcW w:type="dxa" w:w="1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PLUMED Keyword</w:t>
            </w:r>
          </w:p>
        </w:tc>
        <w:tc>
          <w:tcPr>
            <w:tcW w:type="dxa" w:w="3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1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Pros/Cons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Deviation of COMM domain from closed-state reference structure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Intuitive; needs good reference PDB</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Distance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DISTANCE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Distance between COMM domain center and active site residue</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Simple; less precise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Dihedral angle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TORSION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Backbone φ/ψ of key COMM domain residues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Atomic-level; hard to choose which ones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Contact number</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COORDINATION</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Number of contacts between COMM and active site</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Physical meaning; computationally heavier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Path CV</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PATH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Progress along a predefined open→closed conformational path</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Used by Osuna 2019; most accurate but complex setup</w:t>
            </w:r>
          </w:p>
        </w:tc>
      </w:tr>
    </w:tbl>
    <w:p>
      <w:pPr>
        <w:spacing w:after="0"/>
      </w:pPr>
    </w:p>
    <w:p>
      <w:pPr>
        <w:spacing w:after="120"/>
      </w:pPr>
      <w:r>
        <w:rPr>
          <w:rFonts w:ascii="Arial" w:cs="Arial" w:eastAsia="Arial" w:hAnsi="Arial"/>
          <w:sz w:val="22"/>
          <w:szCs w:val="22"/>
        </w:rPr>
        <w:t xml:space="preserve">Osuna's 2019 paper uses a path collective variable (PATH), defined using a series of intermediate structures along the COMM domain open→closed transition extracted from available X-ray structures.</w:t>
      </w:r>
    </w:p>
    <w:p>
      <w:pPr>
        <w:pStyle w:val="Heading2"/>
        <w:spacing w:after="120" w:before="240"/>
      </w:pPr>
      <w:r>
        <w:rPr>
          <w:rFonts w:ascii="Arial" w:cs="Arial" w:eastAsia="Arial" w:hAnsi="Arial"/>
          <w:b/>
          <w:bCs/>
          <w:color w:val="2E5FA3"/>
          <w:sz w:val="24"/>
          <w:szCs w:val="24"/>
        </w:rPr>
        <w:t xml:space="preserve">4.4 Multiple Walkers — Parallelizing the Sampling</w:t>
      </w:r>
    </w:p>
    <w:p>
      <w:pPr>
        <w:spacing w:after="120"/>
      </w:pPr>
      <w:r>
        <w:rPr>
          <w:rFonts w:ascii="Arial" w:cs="Arial" w:eastAsia="Arial" w:hAnsi="Arial"/>
          <w:sz w:val="22"/>
          <w:szCs w:val="22"/>
        </w:rPr>
        <w:t xml:space="preserve">A single MetaDynamics simulation of a full enzyme may take weeks to converge. Multiple Walkers (Raiteri et al.) solves this:</w:t>
      </w:r>
    </w:p>
    <w:p>
      <w:pPr>
        <w:pStyle w:val="ListParagraph"/>
        <w:numPr>
          <w:ilvl w:val="0"/>
          <w:numId w:val="2"/>
        </w:numPr>
        <w:spacing w:after="80"/>
      </w:pPr>
      <w:r>
        <w:rPr>
          <w:rFonts w:ascii="Arial" w:cs="Arial" w:eastAsia="Arial" w:hAnsi="Arial"/>
          <w:sz w:val="22"/>
          <w:szCs w:val="22"/>
        </w:rPr>
        <w:t xml:space="preserve">Run N independent simulations (walkers) simultaneously on N GPU nodes</w:t>
      </w:r>
    </w:p>
    <w:p>
      <w:pPr>
        <w:pStyle w:val="ListParagraph"/>
        <w:numPr>
          <w:ilvl w:val="0"/>
          <w:numId w:val="2"/>
        </w:numPr>
        <w:spacing w:after="80"/>
      </w:pPr>
      <w:r>
        <w:rPr>
          <w:rFonts w:ascii="Arial" w:cs="Arial" w:eastAsia="Arial" w:hAnsi="Arial"/>
          <w:sz w:val="22"/>
          <w:szCs w:val="22"/>
        </w:rPr>
        <w:t xml:space="preserve">Each walker explores the CV space independently</w:t>
      </w:r>
    </w:p>
    <w:p>
      <w:pPr>
        <w:pStyle w:val="ListParagraph"/>
        <w:numPr>
          <w:ilvl w:val="0"/>
          <w:numId w:val="2"/>
        </w:numPr>
        <w:spacing w:after="80"/>
      </w:pPr>
      <w:r>
        <w:rPr>
          <w:rFonts w:ascii="Arial" w:cs="Arial" w:eastAsia="Arial" w:hAnsi="Arial"/>
          <w:sz w:val="22"/>
          <w:szCs w:val="22"/>
        </w:rPr>
        <w:t xml:space="preserve">All walkers SHARE the same bias potential (shared HILLS file)</w:t>
      </w:r>
    </w:p>
    <w:p>
      <w:pPr>
        <w:pStyle w:val="ListParagraph"/>
        <w:numPr>
          <w:ilvl w:val="0"/>
          <w:numId w:val="2"/>
        </w:numPr>
        <w:spacing w:after="80"/>
      </w:pPr>
      <w:r>
        <w:rPr>
          <w:rFonts w:ascii="Arial" w:cs="Arial" w:eastAsia="Arial" w:hAnsi="Arial"/>
          <w:sz w:val="22"/>
          <w:szCs w:val="22"/>
        </w:rPr>
        <w:t xml:space="preserve">Effect: approximately N× speedup for convergence</w:t>
      </w:r>
    </w:p>
    <w:p>
      <w:pPr>
        <w:spacing w:after="0"/>
      </w:pPr>
    </w:p>
    <w:p>
      <w:pPr>
        <w:shd w:fill="F0F0F0" w:val="clear"/>
        <w:spacing w:after="120"/>
      </w:pPr>
      <w:r>
        <w:rPr>
          <w:rFonts w:ascii="Courier New" w:cs="Courier New" w:eastAsia="Courier New" w:hAnsi="Courier New"/>
          <w:color w:val="333333"/>
          <w:sz w:val="18"/>
          <w:szCs w:val="18"/>
        </w:rPr>
        <w:t xml:space="preserve"># PLUMED: Multiple walkers setup (for walker 0 of 4)
</w:t>
      </w:r>
      <w:r>
        <w:rPr>
          <w:rFonts w:ascii="Courier New" w:cs="Courier New" w:eastAsia="Courier New" w:hAnsi="Courier New"/>
          <w:color w:val="333333"/>
          <w:sz w:val="18"/>
          <w:szCs w:val="18"/>
        </w:rPr>
        <w:t xml:space="preserve">METAD ARG=cv1,cv2
</w:t>
      </w:r>
      <w:r>
        <w:rPr>
          <w:rFonts w:ascii="Courier New" w:cs="Courier New" w:eastAsia="Courier New" w:hAnsi="Courier New"/>
          <w:color w:val="333333"/>
          <w:sz w:val="18"/>
          <w:szCs w:val="18"/>
        </w:rPr>
        <w:t xml:space="preserve">      HEIGHT=1.2 SIGMA=0.15,0.30 PACE=500
</w:t>
      </w:r>
      <w:r>
        <w:rPr>
          <w:rFonts w:ascii="Courier New" w:cs="Courier New" w:eastAsia="Courier New" w:hAnsi="Courier New"/>
          <w:color w:val="333333"/>
          <w:sz w:val="18"/>
          <w:szCs w:val="18"/>
        </w:rPr>
        <w:t xml:space="preserve">      BIASFACTOR=15 TEMP=300
</w:t>
      </w:r>
      <w:r>
        <w:rPr>
          <w:rFonts w:ascii="Courier New" w:cs="Courier New" w:eastAsia="Courier New" w:hAnsi="Courier New"/>
          <w:color w:val="333333"/>
          <w:sz w:val="18"/>
          <w:szCs w:val="18"/>
        </w:rPr>
        <w:t xml:space="preserve">      WALKERS_N=4 WALKERS_ID=0
</w:t>
      </w:r>
      <w:r>
        <w:rPr>
          <w:rFonts w:ascii="Courier New" w:cs="Courier New" w:eastAsia="Courier New" w:hAnsi="Courier New"/>
          <w:color w:val="333333"/>
          <w:sz w:val="18"/>
          <w:szCs w:val="18"/>
        </w:rPr>
        <w:t xml:space="preserve">      WALKERS_DIR=../ FILE=HILLS</w:t>
      </w:r>
    </w:p>
    <w:p>
      <w:pPr>
        <w:pStyle w:val="Heading2"/>
        <w:spacing w:after="120" w:before="240"/>
      </w:pPr>
      <w:r>
        <w:rPr>
          <w:rFonts w:ascii="Arial" w:cs="Arial" w:eastAsia="Arial" w:hAnsi="Arial"/>
          <w:b/>
          <w:bCs/>
          <w:color w:val="2E5FA3"/>
          <w:sz w:val="24"/>
          <w:szCs w:val="24"/>
        </w:rPr>
        <w:t xml:space="preserve">4.5 Full PLUMED Setup for TrpB COMM Domain</w:t>
      </w:r>
    </w:p>
    <w:p>
      <w:pPr>
        <w:shd w:fill="F0F0F0" w:val="clear"/>
        <w:spacing w:after="120"/>
      </w:pPr>
      <w:r>
        <w:rPr>
          <w:rFonts w:ascii="Courier New" w:cs="Courier New" w:eastAsia="Courier New" w:hAnsi="Courier New"/>
          <w:color w:val="333333"/>
          <w:sz w:val="18"/>
          <w:szCs w:val="18"/>
        </w:rPr>
        <w:t xml:space="preserve"># ── PLUMED input: plumed.dat ──────────────────────────────
</w:t>
      </w:r>
      <w:r>
        <w:rPr>
          <w:rFonts w:ascii="Courier New" w:cs="Courier New" w:eastAsia="Courier New" w:hAnsi="Courier New"/>
          <w:color w:val="333333"/>
          <w:sz w:val="18"/>
          <w:szCs w:val="18"/>
        </w:rPr>
        <w:t xml:space="preserve"># Target: COMM domain open-to-closed MetaDynamics for TrpB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Define collective variable 1: RMSD from closed-state reference
</w:t>
      </w:r>
      <w:r>
        <w:rPr>
          <w:rFonts w:ascii="Courier New" w:cs="Courier New" w:eastAsia="Courier New" w:hAnsi="Courier New"/>
          <w:color w:val="333333"/>
          <w:sz w:val="18"/>
          <w:szCs w:val="18"/>
        </w:rPr>
        <w:t xml:space="preserve">COMM_rmsd: RMSD
</w:t>
      </w:r>
      <w:r>
        <w:rPr>
          <w:rFonts w:ascii="Courier New" w:cs="Courier New" w:eastAsia="Courier New" w:hAnsi="Courier New"/>
          <w:color w:val="333333"/>
          <w:sz w:val="18"/>
          <w:szCs w:val="18"/>
        </w:rPr>
        <w:t xml:space="preserve">  REFERENCE=trpb_closed.pdb    # closed reference structure
</w:t>
      </w:r>
      <w:r>
        <w:rPr>
          <w:rFonts w:ascii="Courier New" w:cs="Courier New" w:eastAsia="Courier New" w:hAnsi="Courier New"/>
          <w:color w:val="333333"/>
          <w:sz w:val="18"/>
          <w:szCs w:val="18"/>
        </w:rPr>
        <w:t xml:space="preserve">  TYPE=OPTIMAL                 # optimal superimposition
</w:t>
      </w:r>
      <w:r>
        <w:rPr>
          <w:rFonts w:ascii="Courier New" w:cs="Courier New" w:eastAsia="Courier New" w:hAnsi="Courier New"/>
          <w:color w:val="333333"/>
          <w:sz w:val="18"/>
          <w:szCs w:val="18"/>
        </w:rPr>
        <w:t xml:space="preserve">  ATOMS=101-140                # COMM domain residue range (adjust to PDB)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Define collective variable 2: COM distance, COMM to active site
</w:t>
      </w:r>
      <w:r>
        <w:rPr>
          <w:rFonts w:ascii="Courier New" w:cs="Courier New" w:eastAsia="Courier New" w:hAnsi="Courier New"/>
          <w:color w:val="333333"/>
          <w:sz w:val="18"/>
          <w:szCs w:val="18"/>
        </w:rPr>
        <w:t xml:space="preserve">active_site: GROUP ATOMS=82,104,305   # K82, E104, D305 C-alpha
</w:t>
      </w:r>
      <w:r>
        <w:rPr>
          <w:rFonts w:ascii="Courier New" w:cs="Courier New" w:eastAsia="Courier New" w:hAnsi="Courier New"/>
          <w:color w:val="333333"/>
          <w:sz w:val="18"/>
          <w:szCs w:val="18"/>
        </w:rPr>
        <w:t xml:space="preserve">comm_center: CENTER ATOMS=101-140     # COMM domain center
</w:t>
      </w:r>
      <w:r>
        <w:rPr>
          <w:rFonts w:ascii="Courier New" w:cs="Courier New" w:eastAsia="Courier New" w:hAnsi="Courier New"/>
          <w:color w:val="333333"/>
          <w:sz w:val="18"/>
          <w:szCs w:val="18"/>
        </w:rPr>
        <w:t xml:space="preserve">COMM_dist: DISTANCE ATOMS=active_site,comm_center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Well-Tempered Multiple-Walker MetaDynamics
</w:t>
      </w:r>
      <w:r>
        <w:rPr>
          <w:rFonts w:ascii="Courier New" w:cs="Courier New" w:eastAsia="Courier New" w:hAnsi="Courier New"/>
          <w:color w:val="333333"/>
          <w:sz w:val="18"/>
          <w:szCs w:val="18"/>
        </w:rPr>
        <w:t xml:space="preserve">METAD: METADYNAMICS
</w:t>
      </w:r>
      <w:r>
        <w:rPr>
          <w:rFonts w:ascii="Courier New" w:cs="Courier New" w:eastAsia="Courier New" w:hAnsi="Courier New"/>
          <w:color w:val="333333"/>
          <w:sz w:val="18"/>
          <w:szCs w:val="18"/>
        </w:rPr>
        <w:t xml:space="preserve">  ARG=COMM_rmsd,COMM_dist
</w:t>
      </w:r>
      <w:r>
        <w:rPr>
          <w:rFonts w:ascii="Courier New" w:cs="Courier New" w:eastAsia="Courier New" w:hAnsi="Courier New"/>
          <w:color w:val="333333"/>
          <w:sz w:val="18"/>
          <w:szCs w:val="18"/>
        </w:rPr>
        <w:t xml:space="preserve">  SIGMA=0.15,0.30              # Gaussian widths (estimate from short unbiased MD)
</w:t>
      </w:r>
      <w:r>
        <w:rPr>
          <w:rFonts w:ascii="Courier New" w:cs="Courier New" w:eastAsia="Courier New" w:hAnsi="Courier New"/>
          <w:color w:val="333333"/>
          <w:sz w:val="18"/>
          <w:szCs w:val="18"/>
        </w:rPr>
        <w:t xml:space="preserve">  HEIGHT=1.2                   # Initial hill height in kJ/mol
</w:t>
      </w:r>
      <w:r>
        <w:rPr>
          <w:rFonts w:ascii="Courier New" w:cs="Courier New" w:eastAsia="Courier New" w:hAnsi="Courier New"/>
          <w:color w:val="333333"/>
          <w:sz w:val="18"/>
          <w:szCs w:val="18"/>
        </w:rPr>
        <w:t xml:space="preserve">  PACE=500                     # Add a Gaussian every 500 MD steps (1 ps)
</w:t>
      </w:r>
      <w:r>
        <w:rPr>
          <w:rFonts w:ascii="Courier New" w:cs="Courier New" w:eastAsia="Courier New" w:hAnsi="Courier New"/>
          <w:color w:val="333333"/>
          <w:sz w:val="18"/>
          <w:szCs w:val="18"/>
        </w:rPr>
        <w:t xml:space="preserve">  BIASFACTOR=15                # Well-tempered bias factor
</w:t>
      </w:r>
      <w:r>
        <w:rPr>
          <w:rFonts w:ascii="Courier New" w:cs="Courier New" w:eastAsia="Courier New" w:hAnsi="Courier New"/>
          <w:color w:val="333333"/>
          <w:sz w:val="18"/>
          <w:szCs w:val="18"/>
        </w:rPr>
        <w:t xml:space="preserve">  TEMP=300                     # Temperature in K
</w:t>
      </w:r>
      <w:r>
        <w:rPr>
          <w:rFonts w:ascii="Courier New" w:cs="Courier New" w:eastAsia="Courier New" w:hAnsi="Courier New"/>
          <w:color w:val="333333"/>
          <w:sz w:val="18"/>
          <w:szCs w:val="18"/>
        </w:rPr>
        <w:t xml:space="preserve">  FILE=HILLS                   # Output file
</w:t>
      </w:r>
      <w:r>
        <w:rPr>
          <w:rFonts w:ascii="Courier New" w:cs="Courier New" w:eastAsia="Courier New" w:hAnsi="Courier New"/>
          <w:color w:val="333333"/>
          <w:sz w:val="18"/>
          <w:szCs w:val="18"/>
        </w:rPr>
        <w:t xml:space="preserve">  WALKERS_N=4                  # Number of parallel walkers
</w:t>
      </w:r>
      <w:r>
        <w:rPr>
          <w:rFonts w:ascii="Courier New" w:cs="Courier New" w:eastAsia="Courier New" w:hAnsi="Courier New"/>
          <w:color w:val="333333"/>
          <w:sz w:val="18"/>
          <w:szCs w:val="18"/>
        </w:rPr>
        <w:t xml:space="preserve">  WALKERS_ID=0                 # THIS walker's index (0, 1, 2, or 3)
</w:t>
      </w:r>
      <w:r>
        <w:rPr>
          <w:rFonts w:ascii="Courier New" w:cs="Courier New" w:eastAsia="Courier New" w:hAnsi="Courier New"/>
          <w:color w:val="333333"/>
          <w:sz w:val="18"/>
          <w:szCs w:val="18"/>
        </w:rPr>
        <w:t xml:space="preserve">  WALKERS_DIR=../              # Shared directory for HILLS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Print CV values and bias every 500 steps
</w:t>
      </w:r>
      <w:r>
        <w:rPr>
          <w:rFonts w:ascii="Courier New" w:cs="Courier New" w:eastAsia="Courier New" w:hAnsi="Courier New"/>
          <w:color w:val="333333"/>
          <w:sz w:val="18"/>
          <w:szCs w:val="18"/>
        </w:rPr>
        <w:t xml:space="preserve">PRINT
</w:t>
      </w:r>
      <w:r>
        <w:rPr>
          <w:rFonts w:ascii="Courier New" w:cs="Courier New" w:eastAsia="Courier New" w:hAnsi="Courier New"/>
          <w:color w:val="333333"/>
          <w:sz w:val="18"/>
          <w:szCs w:val="18"/>
        </w:rPr>
        <w:t xml:space="preserve">  ARG=COMM_rmsd,COMM_dist,METAD.bias
</w:t>
      </w:r>
      <w:r>
        <w:rPr>
          <w:rFonts w:ascii="Courier New" w:cs="Courier New" w:eastAsia="Courier New" w:hAnsi="Courier New"/>
          <w:color w:val="333333"/>
          <w:sz w:val="18"/>
          <w:szCs w:val="18"/>
        </w:rPr>
        <w:t xml:space="preserve">  STRIDE=500
</w:t>
      </w:r>
      <w:r>
        <w:rPr>
          <w:rFonts w:ascii="Courier New" w:cs="Courier New" w:eastAsia="Courier New" w:hAnsi="Courier New"/>
          <w:color w:val="333333"/>
          <w:sz w:val="18"/>
          <w:szCs w:val="18"/>
        </w:rPr>
        <w:t xml:space="preserve">  FILE=COLVAR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 Post-simulation: reconstruct FEL ─────────────────────
</w:t>
      </w:r>
      <w:r>
        <w:rPr>
          <w:rFonts w:ascii="Courier New" w:cs="Courier New" w:eastAsia="Courier New" w:hAnsi="Courier New"/>
          <w:color w:val="333333"/>
          <w:sz w:val="18"/>
          <w:szCs w:val="18"/>
        </w:rPr>
        <w:t xml:space="preserve"># plumed sum_hills --hills HILLS --outfile fes.dat --mintozero</w:t>
      </w:r>
    </w:p>
    <w:p>
      <w:pPr>
        <w:pStyle w:val="Heading2"/>
        <w:spacing w:after="120" w:before="240"/>
      </w:pPr>
      <w:r>
        <w:rPr>
          <w:rFonts w:ascii="Arial" w:cs="Arial" w:eastAsia="Arial" w:hAnsi="Arial"/>
          <w:b/>
          <w:bCs/>
          <w:color w:val="2E5FA3"/>
          <w:sz w:val="24"/>
          <w:szCs w:val="24"/>
        </w:rPr>
        <w:t xml:space="preserve">4.6 Convergence Criteria</w:t>
      </w:r>
    </w:p>
    <w:p>
      <w:pPr>
        <w:spacing w:after="120"/>
      </w:pPr>
      <w:r>
        <w:rPr>
          <w:rFonts w:ascii="Arial" w:cs="Arial" w:eastAsia="Arial" w:hAnsi="Arial"/>
          <w:sz w:val="22"/>
          <w:szCs w:val="22"/>
        </w:rPr>
        <w:t xml:space="preserve">A MetaDynamics simulation is considered converged when the FEL stops changing significantly:</w:t>
      </w:r>
    </w:p>
    <w:p>
      <w:pPr>
        <w:pStyle w:val="ListParagraph"/>
        <w:numPr>
          <w:ilvl w:val="0"/>
          <w:numId w:val="2"/>
        </w:numPr>
        <w:spacing w:after="80"/>
      </w:pPr>
      <w:r>
        <w:rPr>
          <w:rFonts w:ascii="Arial" w:cs="Arial" w:eastAsia="Arial" w:hAnsi="Arial"/>
          <w:sz w:val="22"/>
          <w:szCs w:val="22"/>
        </w:rPr>
        <w:t xml:space="preserve">Split simulation into 4 time windows; compare FELs of each window</w:t>
      </w:r>
    </w:p>
    <w:p>
      <w:pPr>
        <w:pStyle w:val="ListParagraph"/>
        <w:numPr>
          <w:ilvl w:val="0"/>
          <w:numId w:val="2"/>
        </w:numPr>
        <w:spacing w:after="80"/>
      </w:pPr>
      <w:r>
        <w:rPr>
          <w:rFonts w:ascii="Arial" w:cs="Arial" w:eastAsia="Arial" w:hAnsi="Arial"/>
          <w:sz w:val="22"/>
          <w:szCs w:val="22"/>
        </w:rPr>
        <w:t xml:space="preserve">Convergence: max difference between last two windows &lt; 0.5 kJ/mol</w:t>
      </w:r>
    </w:p>
    <w:p>
      <w:pPr>
        <w:pStyle w:val="ListParagraph"/>
        <w:numPr>
          <w:ilvl w:val="0"/>
          <w:numId w:val="2"/>
        </w:numPr>
        <w:spacing w:after="80"/>
      </w:pPr>
      <w:r>
        <w:rPr>
          <w:rFonts w:ascii="Arial" w:cs="Arial" w:eastAsia="Arial" w:hAnsi="Arial"/>
          <w:sz w:val="22"/>
          <w:szCs w:val="22"/>
        </w:rPr>
        <w:t xml:space="preserve">Typical run time for TrpB COMM domain: 150–250 ns total (4 walkers × 40–60 ns each)</w:t>
      </w:r>
    </w:p>
    <w:p>
      <w:r>
        <w:br w:type="page"/>
      </w:r>
    </w:p>
    <w:p>
      <w:pPr>
        <w:pStyle w:val="Heading1"/>
        <w:spacing w:after="180" w:before="360"/>
      </w:pPr>
      <w:r>
        <w:rPr>
          <w:rFonts w:ascii="Arial" w:cs="Arial" w:eastAsia="Arial" w:hAnsi="Arial"/>
          <w:b/>
          <w:bCs/>
          <w:color w:val="1F3864"/>
          <w:sz w:val="28"/>
          <w:szCs w:val="28"/>
        </w:rPr>
        <w:t xml:space="preserve">Chapter 5: De Novo Enzyme Design Pipeline — From Theozyme to Wet Lab</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5.1 Why De Novo Design, Not Directed Evolution?</w:t>
      </w:r>
    </w:p>
    <w:p>
      <w:pPr>
        <w:spacing w:after="120"/>
      </w:pPr>
      <w:r>
        <w:rPr>
          <w:rFonts w:ascii="Arial" w:cs="Arial" w:eastAsia="Arial" w:hAnsi="Arial"/>
          <w:sz w:val="22"/>
          <w:szCs w:val="22"/>
        </w:rPr>
        <w:t xml:space="preserve">Your supervisor's group uses de novo protein design (not directed evolution) for D-Trp because:</w:t>
      </w:r>
    </w:p>
    <w:p>
      <w:pPr>
        <w:pStyle w:val="ListParagraph"/>
        <w:numPr>
          <w:ilvl w:val="0"/>
          <w:numId w:val="2"/>
        </w:numPr>
        <w:spacing w:after="80"/>
      </w:pPr>
      <w:r>
        <w:rPr>
          <w:rFonts w:ascii="Arial" w:cs="Arial" w:eastAsia="Arial" w:hAnsi="Arial"/>
          <w:sz w:val="22"/>
          <w:szCs w:val="22"/>
        </w:rPr>
        <w:t xml:space="preserve">D-Trp synthesis requires re-face indole attack — the complete opposite of the natural si-face geometry</w:t>
      </w:r>
    </w:p>
    <w:p>
      <w:pPr>
        <w:pStyle w:val="ListParagraph"/>
        <w:numPr>
          <w:ilvl w:val="0"/>
          <w:numId w:val="2"/>
        </w:numPr>
        <w:spacing w:after="80"/>
      </w:pPr>
      <w:r>
        <w:rPr>
          <w:rFonts w:ascii="Arial" w:cs="Arial" w:eastAsia="Arial" w:hAnsi="Arial"/>
          <w:sz w:val="22"/>
          <w:szCs w:val="22"/>
        </w:rPr>
        <w:t xml:space="preserve">This stereochemical inversion likely cannot be achieved by incremental point mutations (too far from natural TrpB's fitness landscape)</w:t>
      </w:r>
    </w:p>
    <w:p>
      <w:pPr>
        <w:pStyle w:val="ListParagraph"/>
        <w:numPr>
          <w:ilvl w:val="0"/>
          <w:numId w:val="2"/>
        </w:numPr>
        <w:spacing w:after="80"/>
      </w:pPr>
      <w:r>
        <w:rPr>
          <w:rFonts w:ascii="Arial" w:cs="Arial" w:eastAsia="Arial" w:hAnsi="Arial"/>
          <w:sz w:val="22"/>
          <w:szCs w:val="22"/>
        </w:rPr>
        <w:t xml:space="preserve">De novo design allows specifying the exact active-site geometry desired, unconstrained by evolutionary history</w:t>
      </w:r>
    </w:p>
    <w:p>
      <w:pPr>
        <w:pStyle w:val="Heading2"/>
        <w:spacing w:after="120" w:before="240"/>
      </w:pPr>
      <w:r>
        <w:rPr>
          <w:rFonts w:ascii="Arial" w:cs="Arial" w:eastAsia="Arial" w:hAnsi="Arial"/>
          <w:b/>
          <w:bCs/>
          <w:color w:val="2E5FA3"/>
          <w:sz w:val="24"/>
          <w:szCs w:val="24"/>
        </w:rPr>
        <w:t xml:space="preserve">5.2 The Complete Design Pipeline</w:t>
      </w:r>
    </w:p>
    <w:p>
      <w:pPr>
        <w:spacing w:after="120"/>
      </w:pPr>
      <w:r>
        <w:rPr>
          <w:rFonts w:ascii="Arial" w:cs="Arial" w:eastAsia="Arial" w:hAnsi="Arial"/>
          <w:sz w:val="22"/>
          <w:szCs w:val="22"/>
        </w:rPr>
        <w:t xml:space="preserve">Your supervisor described the following workflow, which aligns with the state-of-the-art RFDiffusion2 approach (Baker lab, Nature Methods 2025):</w:t>
      </w:r>
    </w:p>
    <w:p>
      <w:pPr>
        <w:spacing w:after="0"/>
      </w:pPr>
    </w:p>
    <w:p>
      <w:pPr>
        <w:pStyle w:val="Heading3"/>
        <w:spacing w:after="80" w:before="180"/>
      </w:pPr>
      <w:r>
        <w:rPr>
          <w:rFonts w:ascii="Arial" w:cs="Arial" w:eastAsia="Arial" w:hAnsi="Arial"/>
          <w:b/>
          <w:bCs/>
          <w:color w:val="595959"/>
          <w:sz w:val="22"/>
          <w:szCs w:val="22"/>
        </w:rPr>
        <w:t xml:space="preserve">Step 1: Define the Catalytic Motif (Theozyme / Cellzyme)</w:t>
      </w:r>
    </w:p>
    <w:p>
      <w:pPr>
        <w:spacing w:after="120"/>
      </w:pPr>
      <w:r>
        <w:rPr>
          <w:rFonts w:ascii="Arial" w:cs="Arial" w:eastAsia="Arial" w:hAnsi="Arial"/>
          <w:sz w:val="22"/>
          <w:szCs w:val="22"/>
        </w:rPr>
        <w:t xml:space="preserve">The 'cellzyme' your supervisor mentioned is equivalent to a theozyme: the minimal set of catalytic residues with precise spatial coordinates, extracted from the natural TrpB active site and redesigned for D-Trp geometry.</w:t>
      </w:r>
    </w:p>
    <w:p>
      <w:pPr>
        <w:pStyle w:val="ListParagraph"/>
        <w:numPr>
          <w:ilvl w:val="0"/>
          <w:numId w:val="2"/>
        </w:numPr>
        <w:spacing w:after="80"/>
      </w:pPr>
      <w:r>
        <w:rPr>
          <w:rFonts w:ascii="Arial" w:cs="Arial" w:eastAsia="Arial" w:hAnsi="Arial"/>
          <w:sz w:val="22"/>
          <w:szCs w:val="22"/>
        </w:rPr>
        <w:t xml:space="preserve">Include: K82 (PLP anchor), E104 (regioselectivity), and 3–5 additional residues designed for re-face indole positioning</w:t>
      </w:r>
    </w:p>
    <w:p>
      <w:pPr>
        <w:pStyle w:val="ListParagraph"/>
        <w:numPr>
          <w:ilvl w:val="0"/>
          <w:numId w:val="2"/>
        </w:numPr>
        <w:spacing w:after="80"/>
      </w:pPr>
      <w:r>
        <w:rPr>
          <w:rFonts w:ascii="Arial" w:cs="Arial" w:eastAsia="Arial" w:hAnsi="Arial"/>
          <w:sz w:val="22"/>
          <w:szCs w:val="22"/>
        </w:rPr>
        <w:t xml:space="preserve">Define: exact atomic coordinates of these functional groups around the transition state</w:t>
      </w:r>
    </w:p>
    <w:p>
      <w:pPr>
        <w:pStyle w:val="ListParagraph"/>
        <w:numPr>
          <w:ilvl w:val="0"/>
          <w:numId w:val="2"/>
        </w:numPr>
        <w:spacing w:after="80"/>
      </w:pPr>
      <w:r>
        <w:rPr>
          <w:rFonts w:ascii="Arial" w:cs="Arial" w:eastAsia="Arial" w:hAnsi="Arial"/>
          <w:sz w:val="22"/>
          <w:szCs w:val="22"/>
        </w:rPr>
        <w:t xml:space="preserve">Input format: atom-level coordinates without specifying sequence position (RFDiffusion2 infers this)</w:t>
      </w:r>
    </w:p>
    <w:p>
      <w:pPr>
        <w:spacing w:after="0"/>
      </w:pPr>
    </w:p>
    <w:p>
      <w:pPr>
        <w:pStyle w:val="Heading3"/>
        <w:spacing w:after="80" w:before="180"/>
      </w:pPr>
      <w:r>
        <w:rPr>
          <w:rFonts w:ascii="Arial" w:cs="Arial" w:eastAsia="Arial" w:hAnsi="Arial"/>
          <w:b/>
          <w:bCs/>
          <w:color w:val="595959"/>
          <w:sz w:val="22"/>
          <w:szCs w:val="22"/>
        </w:rPr>
        <w:t xml:space="preserve">Step 2: RFDiffusion2 — Backbone Scaffold Generation</w:t>
      </w:r>
    </w:p>
    <w:p>
      <w:pPr>
        <w:spacing w:after="120"/>
      </w:pPr>
      <w:r>
        <w:rPr>
          <w:rFonts w:ascii="Arial" w:cs="Arial" w:eastAsia="Arial" w:hAnsi="Arial"/>
          <w:sz w:val="22"/>
          <w:szCs w:val="22"/>
        </w:rPr>
        <w:t xml:space="preserve">RFDiffusion2 (Lauko et al., Nature Methods 2025) generates novel protein backbones that correctly position the catalytic motif.</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8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RFDiffusion (2023)</w:t>
            </w:r>
          </w:p>
        </w:tc>
        <w:tc>
          <w:tcPr>
            <w:tcW w:type="dxa" w:w="318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RFDiffusion2 (2025)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Catalytic site input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Indexed residues + rotamers required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Unindexed atomic coordinates only</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Rotamer inference</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Manual (inverse rotamer libraries)</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Automatic (flow matching model)</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Benchmark success rate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16/41 diverse active sites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41/41 active sites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Enzyme activity vs. natural</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Low (trace activity typically)</w:t>
            </w:r>
          </w:p>
        </w:tc>
        <w:tc>
          <w:tcPr>
            <w:tcW w:type="dxa" w:w="31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Comparable to cellular enzymes</w:t>
            </w:r>
          </w:p>
        </w:tc>
      </w:tr>
    </w:tbl>
    <w:p>
      <w:pPr>
        <w:pStyle w:val="ListParagraph"/>
        <w:numPr>
          <w:ilvl w:val="0"/>
          <w:numId w:val="2"/>
        </w:numPr>
        <w:spacing w:after="80"/>
      </w:pPr>
      <w:r>
        <w:rPr>
          <w:rFonts w:ascii="Arial" w:cs="Arial" w:eastAsia="Arial" w:hAnsi="Arial"/>
          <w:sz w:val="22"/>
          <w:szCs w:val="22"/>
        </w:rPr>
        <w:t xml:space="preserve">Typically generate 1,000–10,000 backbone candidates per design campaign</w:t>
      </w:r>
    </w:p>
    <w:p>
      <w:pPr>
        <w:pStyle w:val="ListParagraph"/>
        <w:numPr>
          <w:ilvl w:val="0"/>
          <w:numId w:val="2"/>
        </w:numPr>
        <w:spacing w:after="80"/>
      </w:pPr>
      <w:r>
        <w:rPr>
          <w:rFonts w:ascii="Arial" w:cs="Arial" w:eastAsia="Arial" w:hAnsi="Arial"/>
          <w:sz w:val="22"/>
          <w:szCs w:val="22"/>
        </w:rPr>
        <w:t xml:space="preserve">Each backbone correctly positions the theozyme but is otherwise a novel fold</w:t>
      </w:r>
    </w:p>
    <w:p>
      <w:pPr>
        <w:spacing w:after="0"/>
      </w:pPr>
    </w:p>
    <w:p>
      <w:pPr>
        <w:pStyle w:val="Heading3"/>
        <w:spacing w:after="80" w:before="180"/>
      </w:pPr>
      <w:r>
        <w:rPr>
          <w:rFonts w:ascii="Arial" w:cs="Arial" w:eastAsia="Arial" w:hAnsi="Arial"/>
          <w:b/>
          <w:bCs/>
          <w:color w:val="595959"/>
          <w:sz w:val="22"/>
          <w:szCs w:val="22"/>
        </w:rPr>
        <w:t xml:space="preserve">Step 3: ProteinMPNN — Sequence Design</w:t>
      </w:r>
    </w:p>
    <w:p>
      <w:pPr>
        <w:spacing w:after="120"/>
      </w:pPr>
      <w:r>
        <w:rPr>
          <w:rFonts w:ascii="Arial" w:cs="Arial" w:eastAsia="Arial" w:hAnsi="Arial"/>
          <w:sz w:val="22"/>
          <w:szCs w:val="22"/>
        </w:rPr>
        <w:t xml:space="preserve">For each RFDiffusion2-generated backbone, ProteinMPNN designs amino acid sequences:</w:t>
      </w:r>
    </w:p>
    <w:p>
      <w:pPr>
        <w:pStyle w:val="ListParagraph"/>
        <w:numPr>
          <w:ilvl w:val="0"/>
          <w:numId w:val="2"/>
        </w:numPr>
        <w:spacing w:after="80"/>
      </w:pPr>
      <w:r>
        <w:rPr>
          <w:rFonts w:ascii="Arial" w:cs="Arial" w:eastAsia="Arial" w:hAnsi="Arial"/>
          <w:sz w:val="22"/>
          <w:szCs w:val="22"/>
        </w:rPr>
        <w:t xml:space="preserve">Input: backbone coordinate file (N, Cα, C, O positions)</w:t>
      </w:r>
    </w:p>
    <w:p>
      <w:pPr>
        <w:pStyle w:val="ListParagraph"/>
        <w:numPr>
          <w:ilvl w:val="0"/>
          <w:numId w:val="2"/>
        </w:numPr>
        <w:spacing w:after="80"/>
      </w:pPr>
      <w:r>
        <w:rPr>
          <w:rFonts w:ascii="Arial" w:cs="Arial" w:eastAsia="Arial" w:hAnsi="Arial"/>
          <w:sz w:val="22"/>
          <w:szCs w:val="22"/>
        </w:rPr>
        <w:t xml:space="preserve">Catalytic residues are fixed (not designed)</w:t>
      </w:r>
    </w:p>
    <w:p>
      <w:pPr>
        <w:pStyle w:val="ListParagraph"/>
        <w:numPr>
          <w:ilvl w:val="0"/>
          <w:numId w:val="2"/>
        </w:numPr>
        <w:spacing w:after="80"/>
      </w:pPr>
      <w:r>
        <w:rPr>
          <w:rFonts w:ascii="Arial" w:cs="Arial" w:eastAsia="Arial" w:hAnsi="Arial"/>
          <w:sz w:val="22"/>
          <w:szCs w:val="22"/>
        </w:rPr>
        <w:t xml:space="preserve">All other positions are designed to stabilize the fold</w:t>
      </w:r>
    </w:p>
    <w:p>
      <w:pPr>
        <w:pStyle w:val="ListParagraph"/>
        <w:numPr>
          <w:ilvl w:val="0"/>
          <w:numId w:val="2"/>
        </w:numPr>
        <w:spacing w:after="80"/>
      </w:pPr>
      <w:r>
        <w:rPr>
          <w:rFonts w:ascii="Arial" w:cs="Arial" w:eastAsia="Arial" w:hAnsi="Arial"/>
          <w:sz w:val="22"/>
          <w:szCs w:val="22"/>
        </w:rPr>
        <w:t xml:space="preserve">Typically generates 100–1,000 sequences per backbone</w:t>
      </w:r>
    </w:p>
    <w:p>
      <w:pPr>
        <w:pStyle w:val="ListParagraph"/>
        <w:numPr>
          <w:ilvl w:val="0"/>
          <w:numId w:val="2"/>
        </w:numPr>
        <w:spacing w:after="80"/>
      </w:pPr>
      <w:r>
        <w:rPr>
          <w:rFonts w:ascii="Arial" w:cs="Arial" w:eastAsia="Arial" w:hAnsi="Arial"/>
          <w:sz w:val="22"/>
          <w:szCs w:val="22"/>
        </w:rPr>
        <w:t xml:space="preserve">Scored by log-likelihood; top sequences selected for next stage</w:t>
      </w:r>
    </w:p>
    <w:p>
      <w:pPr>
        <w:spacing w:after="0"/>
      </w:pPr>
    </w:p>
    <w:p>
      <w:pPr>
        <w:pStyle w:val="Heading3"/>
        <w:spacing w:after="80" w:before="180"/>
      </w:pPr>
      <w:r>
        <w:rPr>
          <w:rFonts w:ascii="Arial" w:cs="Arial" w:eastAsia="Arial" w:hAnsi="Arial"/>
          <w:b/>
          <w:bCs/>
          <w:color w:val="595959"/>
          <w:sz w:val="22"/>
          <w:szCs w:val="22"/>
        </w:rPr>
        <w:t xml:space="preserve">Step 4: Computational Filtering Cascade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560"/>
      </w:tblGrid>
      <w:tr>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 Stage</w:t>
            </w:r>
          </w:p>
        </w:tc>
        <w:tc>
          <w:tcPr>
            <w:tcW w:type="dxa" w:w="16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3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W w:type="dxa" w:w="25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Pass Rate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AF2 self-consistency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AlphaFold2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pLDDT &gt; 80; RMSD vs. design &lt; 1.5 Å</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10–20% pass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Energy scoring</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Rosetta REF2015</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Total energy ranking, top deciles</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10–20% of remaining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Active site geometry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Custom script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Catalytic residue RMSD &lt; 0.5 Å</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5–10% of remaining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MD stability</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GROMACS 50 ns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Active site intact; RMSD stable</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Top 1–5%</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MetaDynamics (your work)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GROMACS + PLUMED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FEL shows productive closed-state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Top subset for wet lab</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AF7EA"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Where MetaDynamics Fits: Filter Stage 5 (Your Work)</w:t>
            </w:r>
          </w:p>
          <w:p>
            <w:pPr>
              <w:spacing w:after="0"/>
            </w:pPr>
            <w:r>
              <w:rPr>
                <w:rFonts w:ascii="Arial" w:cs="Arial" w:eastAsia="Arial" w:hAnsi="Arial"/>
                <w:sz w:val="22"/>
                <w:szCs w:val="22"/>
              </w:rPr>
              <w:t xml:space="preserve">MetaDynamics can be inserted as an additional, more rigorous filter after MD stability: for the top 20–50 candidates, reconstruct the COMM domain FEL and select only those where the D-Trp-competent closed conformation is thermodynamically accessible. This is your primary contribution.</w:t>
            </w:r>
          </w:p>
        </w:tc>
      </w:tr>
    </w:tbl>
    <w:p>
      <w:pPr>
        <w:spacing w:after="0"/>
      </w:pPr>
    </w:p>
    <w:p>
      <w:pPr>
        <w:pStyle w:val="Heading3"/>
        <w:spacing w:after="80" w:before="180"/>
      </w:pPr>
      <w:r>
        <w:rPr>
          <w:rFonts w:ascii="Arial" w:cs="Arial" w:eastAsia="Arial" w:hAnsi="Arial"/>
          <w:b/>
          <w:bCs/>
          <w:color w:val="595959"/>
          <w:sz w:val="22"/>
          <w:szCs w:val="22"/>
        </w:rPr>
        <w:t xml:space="preserve">Step 5: Wet Lab Synthesis and Screening (White Lab)</w:t>
      </w:r>
    </w:p>
    <w:p>
      <w:pPr>
        <w:spacing w:after="120"/>
      </w:pPr>
      <w:r>
        <w:rPr>
          <w:rFonts w:ascii="Arial" w:cs="Arial" w:eastAsia="Arial" w:hAnsi="Arial"/>
          <w:sz w:val="22"/>
          <w:szCs w:val="22"/>
        </w:rPr>
        <w:t xml:space="preserve">Final candidates (~48–200 sequences) are sent for experimental validation:</w:t>
      </w:r>
    </w:p>
    <w:p>
      <w:pPr>
        <w:pStyle w:val="ListParagraph"/>
        <w:numPr>
          <w:ilvl w:val="0"/>
          <w:numId w:val="3"/>
        </w:numPr>
        <w:spacing w:after="80"/>
      </w:pPr>
      <w:r>
        <w:rPr>
          <w:rFonts w:ascii="Arial" w:cs="Arial" w:eastAsia="Arial" w:hAnsi="Arial"/>
          <w:sz w:val="22"/>
          <w:szCs w:val="22"/>
        </w:rPr>
        <w:t xml:space="preserve">Gene synthesis (commercial DNA synthesis)</w:t>
      </w:r>
    </w:p>
    <w:p>
      <w:pPr>
        <w:pStyle w:val="ListParagraph"/>
        <w:numPr>
          <w:ilvl w:val="0"/>
          <w:numId w:val="3"/>
        </w:numPr>
        <w:spacing w:after="80"/>
      </w:pPr>
      <w:r>
        <w:rPr>
          <w:rFonts w:ascii="Arial" w:cs="Arial" w:eastAsia="Arial" w:hAnsi="Arial"/>
          <w:sz w:val="22"/>
          <w:szCs w:val="22"/>
        </w:rPr>
        <w:t xml:space="preserve">Protein expression in E. coli (His-tag, IPTG induction)</w:t>
      </w:r>
    </w:p>
    <w:p>
      <w:pPr>
        <w:pStyle w:val="ListParagraph"/>
        <w:numPr>
          <w:ilvl w:val="0"/>
          <w:numId w:val="3"/>
        </w:numPr>
        <w:spacing w:after="80"/>
      </w:pPr>
      <w:r>
        <w:rPr>
          <w:rFonts w:ascii="Arial" w:cs="Arial" w:eastAsia="Arial" w:hAnsi="Arial"/>
          <w:sz w:val="22"/>
          <w:szCs w:val="22"/>
        </w:rPr>
        <w:t xml:space="preserve">Affinity purification (Ni-NTA resin)</w:t>
      </w:r>
    </w:p>
    <w:p>
      <w:pPr>
        <w:pStyle w:val="ListParagraph"/>
        <w:numPr>
          <w:ilvl w:val="0"/>
          <w:numId w:val="3"/>
        </w:numPr>
        <w:spacing w:after="80"/>
      </w:pPr>
      <w:r>
        <w:rPr>
          <w:rFonts w:ascii="Arial" w:cs="Arial" w:eastAsia="Arial" w:hAnsi="Arial"/>
          <w:sz w:val="22"/>
          <w:szCs w:val="22"/>
        </w:rPr>
        <w:t xml:space="preserve">Activity assay: HPLC detection of Trp product from indole + L-Ser</w:t>
      </w:r>
    </w:p>
    <w:p>
      <w:pPr>
        <w:pStyle w:val="ListParagraph"/>
        <w:numPr>
          <w:ilvl w:val="0"/>
          <w:numId w:val="3"/>
        </w:numPr>
        <w:spacing w:after="80"/>
      </w:pPr>
      <w:r>
        <w:rPr>
          <w:rFonts w:ascii="Arial" w:cs="Arial" w:eastAsia="Arial" w:hAnsi="Arial"/>
          <w:sz w:val="22"/>
          <w:szCs w:val="22"/>
        </w:rPr>
        <w:t xml:space="preserve">Chiral HPLC: distinguish L-Trp vs. D-Trp, measure ee value</w:t>
      </w:r>
    </w:p>
    <w:p>
      <w:pPr>
        <w:pStyle w:val="ListParagraph"/>
        <w:numPr>
          <w:ilvl w:val="0"/>
          <w:numId w:val="3"/>
        </w:numPr>
        <w:spacing w:after="80"/>
      </w:pPr>
      <w:r>
        <w:rPr>
          <w:rFonts w:ascii="Arial" w:cs="Arial" w:eastAsia="Arial" w:hAnsi="Arial"/>
          <w:sz w:val="22"/>
          <w:szCs w:val="22"/>
        </w:rPr>
        <w:t xml:space="preserve">Hit optimization: kinetics (kcat, Km), stability, yield</w:t>
      </w:r>
    </w:p>
    <w:p>
      <w:r>
        <w:br w:type="page"/>
      </w:r>
    </w:p>
    <w:p>
      <w:pPr>
        <w:pStyle w:val="Heading1"/>
        <w:spacing w:after="180" w:before="360"/>
      </w:pPr>
      <w:r>
        <w:rPr>
          <w:rFonts w:ascii="Arial" w:cs="Arial" w:eastAsia="Arial" w:hAnsi="Arial"/>
          <w:b/>
          <w:bCs/>
          <w:color w:val="1F3864"/>
          <w:sz w:val="28"/>
          <w:szCs w:val="28"/>
        </w:rPr>
        <w:t xml:space="preserve">Chapter 6: Current Methods Landscape</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6.1 Three Major Paradigms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400"/>
        <w:gridCol w:w="1160"/>
      </w:tblGrid>
      <w:tr>
        <w:tc>
          <w:tcPr>
            <w:tcW w:type="dxa" w:w="1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Paradigm</w:t>
            </w:r>
          </w:p>
        </w:tc>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Representative Groups</w:t>
            </w:r>
          </w:p>
        </w:tc>
        <w:tc>
          <w:tcPr>
            <w:tcW w:type="dxa" w:w="2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Tool</w:t>
            </w:r>
          </w:p>
        </w:tc>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w:t>
            </w:r>
          </w:p>
        </w:tc>
        <w:tc>
          <w:tcPr>
            <w:tcW w:type="dxa" w:w="11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Directed Evolution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Arnold Lab (Caltech)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epPCR + HT screening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Proven, experimental validation built in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Restricted to local sequence space; 3,000+ variants per hit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Conformational Dynamics Design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Osuna Lab (Girona)</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MetaDynamics + SPM</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Mechanism-based; predictive power with few tests</w:t>
            </w:r>
          </w:p>
        </w:tc>
        <w:tc>
          <w:tcPr>
            <w:tcW w:type="dxa" w:w="1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Based on modifying existing scaffolds; limited for radical stereoinversion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 Novo AI Design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Baker Lab (UW)</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RFDiffusion2 + ProteinMPNN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Unconstrained by natural evolution; can target any geometry</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Activity often lower than natural enzymes; needs post-optimization</w:t>
            </w:r>
          </w:p>
        </w:tc>
      </w:tr>
    </w:tbl>
    <w:p>
      <w:pPr>
        <w:pStyle w:val="Heading2"/>
        <w:spacing w:after="120" w:before="240"/>
      </w:pPr>
      <w:r>
        <w:rPr>
          <w:rFonts w:ascii="Arial" w:cs="Arial" w:eastAsia="Arial" w:hAnsi="Arial"/>
          <w:b/>
          <w:bCs/>
          <w:color w:val="2E5FA3"/>
          <w:sz w:val="24"/>
          <w:szCs w:val="24"/>
        </w:rPr>
        <w:t xml:space="preserve">6.2 Key Recent Papers You Should Know</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3000"/>
        <w:gridCol w:w="3360"/>
      </w:tblGrid>
      <w:tr>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Paper</w:t>
            </w:r>
          </w:p>
        </w:tc>
        <w:tc>
          <w:tcPr>
            <w:tcW w:type="dxa" w:w="6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30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Contribution</w:t>
            </w:r>
          </w:p>
        </w:tc>
        <w:tc>
          <w:tcPr>
            <w:tcW w:type="dxa" w:w="33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Relevance to Your Project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Watson et al., Nature 2023</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RFDiffusion: de novo protein design via diffusion model</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Foundation of your group's design pipeline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Lauko et al., Nature Methods 2025</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2025</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RFDiffusion2: atom-level active site scaffolding</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The actual tool your supervisor uses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Buller et al., PNAS 2015</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2015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Standalone TrpB by directed evolution (6 mutations, 83×)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Establishes TrpB engineering is feasible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Maria-Solano et al., JACS 2019</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2019</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MetaDynamics FEL of TrpB COMM domain</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Your primary MetaDynamics reference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Maria-Solano et al., ACS Catal 2021</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SPM method: 1 variant = 3,000 DE variants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Methodology for future optimization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Casadevall et al., Protein Sci 2022</w:t>
            </w:r>
          </w:p>
        </w:tc>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2022</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tAF2-MD rapid conformational screening</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Fast screening strategy for your candidates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Arnold et al., Nat Commun 2025</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AI-assisted directed evolution for TrpB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Shows ML + DE is now being combined</w:t>
            </w:r>
          </w:p>
        </w:tc>
      </w:tr>
    </w:tbl>
    <w:p>
      <w:pPr>
        <w:pStyle w:val="Heading2"/>
        <w:spacing w:after="120" w:before="240"/>
      </w:pPr>
      <w:r>
        <w:rPr>
          <w:rFonts w:ascii="Arial" w:cs="Arial" w:eastAsia="Arial" w:hAnsi="Arial"/>
          <w:b/>
          <w:bCs/>
          <w:color w:val="2E5FA3"/>
          <w:sz w:val="24"/>
          <w:szCs w:val="24"/>
        </w:rPr>
        <w:t xml:space="preserve">6.3 Note on NeuroMD / ML Potentials</w:t>
      </w:r>
    </w:p>
    <w:p>
      <w:pPr>
        <w:spacing w:after="120"/>
      </w:pPr>
      <w:r>
        <w:rPr>
          <w:rFonts w:ascii="Arial" w:cs="Arial" w:eastAsia="Arial" w:hAnsi="Arial"/>
          <w:sz w:val="22"/>
          <w:szCs w:val="22"/>
        </w:rPr>
        <w:t xml:space="preserve">Your supervisor mentioned a 'NeuroMD' paper (published Dec 31, 2024) that made a previously proposed approach infeasible. This likely refers to neural network potentials (ML potentials) such as NequIP, MACE, or a specific group's neuro-MD + TrpB application.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Important Distinction: MetaDynamics vs. ML Potentials</w:t>
            </w:r>
          </w:p>
          <w:p>
            <w:pPr>
              <w:spacing w:after="0"/>
            </w:pPr>
            <w:r>
              <w:rPr>
                <w:rFonts w:ascii="Arial" w:cs="Arial" w:eastAsia="Arial" w:hAnsi="Arial"/>
                <w:sz w:val="22"/>
                <w:szCs w:val="22"/>
              </w:rPr>
              <w:t xml:space="preserve">MetaDynamics (what you are doing) = enhanced sampling method using classical force fields (AMBER/CHARMM). It accelerates conformational sampling but uses the same physics as regular MD.
ML Potentials (NeuroMD) = replace the classical force field with a neural network trained on QM data. More accurate but requires training data and much more development effort.
These are complementary tools, not competitors. Your MetaDynamics work is not made obsolete by ML potentials.</w:t>
            </w:r>
          </w:p>
        </w:tc>
      </w:tr>
    </w:tbl>
    <w:p>
      <w:r>
        <w:br w:type="page"/>
      </w:r>
    </w:p>
    <w:p>
      <w:pPr>
        <w:pStyle w:val="Heading1"/>
        <w:spacing w:after="180" w:before="360"/>
      </w:pPr>
      <w:r>
        <w:rPr>
          <w:rFonts w:ascii="Arial" w:cs="Arial" w:eastAsia="Arial" w:hAnsi="Arial"/>
          <w:b/>
          <w:bCs/>
          <w:color w:val="1F3864"/>
          <w:sz w:val="28"/>
          <w:szCs w:val="28"/>
        </w:rPr>
        <w:t xml:space="preserve">Chapter 7: Your Value Proposition — How to Show Impact</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7.1 Your Unique Background Combination</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Background</w:t>
            </w:r>
          </w:p>
        </w:tc>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 Need</w:t>
            </w:r>
          </w:p>
        </w:tc>
        <w:tc>
          <w:tcPr>
            <w:tcW w:type="dxa" w:w="43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They Connect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LiGaMD3 (enhanced sampling, Miao Lab)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MetaDynamics operation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Both are enhanced sampling methods; your MD intuition transfers directly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XGBoost / LSTM / Deep Learning (Miao Lab)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FEL features → reward function</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Build a ML model mapping FEL features to D-Trp selectivity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PCA / K-Means conformational analysis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Screening design candidates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Cluster conformational ensembles of RFDiffusion designs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HPC / Slurm automation (Poplov Lab)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Large-scale MetaDynamics runs</w:t>
            </w:r>
          </w:p>
        </w:tc>
        <w:tc>
          <w:tcPr>
            <w:tcW w:type="dxa" w:w="4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Set up automated pipeline for parallel MetaDynamics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Convergence prediction (LSTM, Poplov Lab)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MetaDynamics convergence detection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Novel tool: predict when simulation has converged, stop early</w:t>
            </w:r>
          </w:p>
        </w:tc>
      </w:tr>
    </w:tbl>
    <w:p>
      <w:pPr>
        <w:pStyle w:val="Heading2"/>
        <w:spacing w:after="120" w:before="240"/>
      </w:pPr>
      <w:r>
        <w:rPr>
          <w:rFonts w:ascii="Arial" w:cs="Arial" w:eastAsia="Arial" w:hAnsi="Arial"/>
          <w:b/>
          <w:bCs/>
          <w:color w:val="2E5FA3"/>
          <w:sz w:val="24"/>
          <w:szCs w:val="24"/>
        </w:rPr>
        <w:t xml:space="preserve">7.2 Three Concrete Impact Directions</w:t>
      </w:r>
    </w:p>
    <w:p>
      <w:pPr>
        <w:pStyle w:val="Heading3"/>
        <w:spacing w:after="80" w:before="180"/>
      </w:pPr>
      <w:r>
        <w:rPr>
          <w:rFonts w:ascii="Arial" w:cs="Arial" w:eastAsia="Arial" w:hAnsi="Arial"/>
          <w:b/>
          <w:bCs/>
          <w:color w:val="595959"/>
          <w:sz w:val="22"/>
          <w:szCs w:val="22"/>
        </w:rPr>
        <w:t xml:space="preserve">Direction A: FEL-Informed Reward Function (Highest Impact)</w:t>
      </w:r>
    </w:p>
    <w:p>
      <w:pPr>
        <w:spacing w:after="120"/>
      </w:pPr>
      <w:r>
        <w:rPr>
          <w:rFonts w:ascii="Arial" w:cs="Arial" w:eastAsia="Arial" w:hAnsi="Arial"/>
          <w:sz w:val="22"/>
          <w:szCs w:val="22"/>
        </w:rPr>
        <w:t xml:space="preserve">Run MetaDynamics on 10–20 known TrpB variants with measured kcat/ee values. Extract FEL features (closed-state depth, energy barrier, CV distribution). Use XGBoost to build a structure-to-FEL-to-activity model. Use this model as an additional reward signal in the RFDiffusion2 design loop.</w:t>
      </w:r>
    </w:p>
    <w:p>
      <w:pPr>
        <w:pStyle w:val="ListParagraph"/>
        <w:numPr>
          <w:ilvl w:val="0"/>
          <w:numId w:val="2"/>
        </w:numPr>
        <w:spacing w:after="80"/>
      </w:pPr>
      <w:r>
        <w:rPr>
          <w:rFonts w:ascii="Arial" w:cs="Arial" w:eastAsia="Arial" w:hAnsi="Arial"/>
          <w:sz w:val="22"/>
          <w:szCs w:val="22"/>
        </w:rPr>
        <w:t xml:space="preserve">Why impactful: No one has explicitly connected MetaDynamics FEL to de novo enzyme design reward functions for TrpB.</w:t>
      </w:r>
    </w:p>
    <w:p>
      <w:pPr>
        <w:pStyle w:val="ListParagraph"/>
        <w:numPr>
          <w:ilvl w:val="0"/>
          <w:numId w:val="2"/>
        </w:numPr>
        <w:spacing w:after="80"/>
      </w:pPr>
      <w:r>
        <w:rPr>
          <w:rFonts w:ascii="Arial" w:cs="Arial" w:eastAsia="Arial" w:hAnsi="Arial"/>
          <w:sz w:val="22"/>
          <w:szCs w:val="22"/>
        </w:rPr>
        <w:t xml:space="preserve">Feasibility: 2–3 months; leverages directly your Miao Lab experience</w:t>
      </w:r>
    </w:p>
    <w:p>
      <w:pPr>
        <w:spacing w:after="0"/>
      </w:pPr>
    </w:p>
    <w:p>
      <w:pPr>
        <w:pStyle w:val="Heading3"/>
        <w:spacing w:after="80" w:before="180"/>
      </w:pPr>
      <w:r>
        <w:rPr>
          <w:rFonts w:ascii="Arial" w:cs="Arial" w:eastAsia="Arial" w:hAnsi="Arial"/>
          <w:b/>
          <w:bCs/>
          <w:color w:val="595959"/>
          <w:sz w:val="22"/>
          <w:szCs w:val="22"/>
        </w:rPr>
        <w:t xml:space="preserve">Direction B: LiGaMD3 vs. MetaDynamics Benchmark (Unique Methodological Contribution)</w:t>
      </w:r>
    </w:p>
    <w:p>
      <w:pPr>
        <w:spacing w:after="120"/>
      </w:pPr>
      <w:r>
        <w:rPr>
          <w:rFonts w:ascii="Arial" w:cs="Arial" w:eastAsia="Arial" w:hAnsi="Arial"/>
          <w:sz w:val="22"/>
          <w:szCs w:val="22"/>
        </w:rPr>
        <w:t xml:space="preserve">Run both LiGaMD3 and WTMetaDynamics on the same TrpB systems. Compare: FEL quality, computational cost, sampling efficiency. If LiGaMD3 gives equivalent or better results at lower cost, that is a publishable methodological finding.</w:t>
      </w:r>
    </w:p>
    <w:p>
      <w:pPr>
        <w:pStyle w:val="ListParagraph"/>
        <w:numPr>
          <w:ilvl w:val="0"/>
          <w:numId w:val="2"/>
        </w:numPr>
        <w:spacing w:after="80"/>
      </w:pPr>
      <w:r>
        <w:rPr>
          <w:rFonts w:ascii="Arial" w:cs="Arial" w:eastAsia="Arial" w:hAnsi="Arial"/>
          <w:sz w:val="22"/>
          <w:szCs w:val="22"/>
        </w:rPr>
        <w:t xml:space="preserve">Why impactful: You are the only person in this project (probably the only person in this lab) who has used LiGaMD3. This comparison cannot be done by anyone else.</w:t>
      </w:r>
    </w:p>
    <w:p>
      <w:pPr>
        <w:pStyle w:val="ListParagraph"/>
        <w:numPr>
          <w:ilvl w:val="0"/>
          <w:numId w:val="2"/>
        </w:numPr>
        <w:spacing w:after="80"/>
      </w:pPr>
      <w:r>
        <w:rPr>
          <w:rFonts w:ascii="Arial" w:cs="Arial" w:eastAsia="Arial" w:hAnsi="Arial"/>
          <w:sz w:val="22"/>
          <w:szCs w:val="22"/>
        </w:rPr>
        <w:t xml:space="preserve">Feasibility: 6–8 weeks alongside regular work</w:t>
      </w:r>
    </w:p>
    <w:p>
      <w:pPr>
        <w:spacing w:after="0"/>
      </w:pPr>
    </w:p>
    <w:p>
      <w:pPr>
        <w:pStyle w:val="Heading3"/>
        <w:spacing w:after="80" w:before="180"/>
      </w:pPr>
      <w:r>
        <w:rPr>
          <w:rFonts w:ascii="Arial" w:cs="Arial" w:eastAsia="Arial" w:hAnsi="Arial"/>
          <w:b/>
          <w:bCs/>
          <w:color w:val="595959"/>
          <w:sz w:val="22"/>
          <w:szCs w:val="22"/>
        </w:rPr>
        <w:t xml:space="preserve">Direction C: ML-Assisted MetaDynamics Convergence Detection</w:t>
      </w:r>
    </w:p>
    <w:p>
      <w:pPr>
        <w:spacing w:after="120"/>
      </w:pPr>
      <w:r>
        <w:rPr>
          <w:rFonts w:ascii="Arial" w:cs="Arial" w:eastAsia="Arial" w:hAnsi="Arial"/>
          <w:sz w:val="22"/>
          <w:szCs w:val="22"/>
        </w:rPr>
        <w:t xml:space="preserve">Apply your LSTM time-series prediction expertise to automatically determine when a MetaDynamics simulation has converged. Currently this is done manually by inspecting FEL time-series plots.</w:t>
      </w:r>
    </w:p>
    <w:p>
      <w:pPr>
        <w:pStyle w:val="ListParagraph"/>
        <w:numPr>
          <w:ilvl w:val="0"/>
          <w:numId w:val="2"/>
        </w:numPr>
        <w:spacing w:after="80"/>
      </w:pPr>
      <w:r>
        <w:rPr>
          <w:rFonts w:ascii="Arial" w:cs="Arial" w:eastAsia="Arial" w:hAnsi="Arial"/>
          <w:sz w:val="22"/>
          <w:szCs w:val="22"/>
        </w:rPr>
        <w:t xml:space="preserve">Input: COLVAR file (CV values over time)</w:t>
      </w:r>
    </w:p>
    <w:p>
      <w:pPr>
        <w:pStyle w:val="ListParagraph"/>
        <w:numPr>
          <w:ilvl w:val="0"/>
          <w:numId w:val="2"/>
        </w:numPr>
        <w:spacing w:after="80"/>
      </w:pPr>
      <w:r>
        <w:rPr>
          <w:rFonts w:ascii="Arial" w:cs="Arial" w:eastAsia="Arial" w:hAnsi="Arial"/>
          <w:sz w:val="22"/>
          <w:szCs w:val="22"/>
        </w:rPr>
        <w:t xml:space="preserve">Output: predicted convergence time point (stop simulation early, save compute)</w:t>
      </w:r>
    </w:p>
    <w:p>
      <w:pPr>
        <w:pStyle w:val="ListParagraph"/>
        <w:numPr>
          <w:ilvl w:val="0"/>
          <w:numId w:val="2"/>
        </w:numPr>
        <w:spacing w:after="80"/>
      </w:pPr>
      <w:r>
        <w:rPr>
          <w:rFonts w:ascii="Arial" w:cs="Arial" w:eastAsia="Arial" w:hAnsi="Arial"/>
          <w:sz w:val="22"/>
          <w:szCs w:val="22"/>
        </w:rPr>
        <w:t xml:space="preserve">Why impactful: This tool would be immediately useful to everyone running MetaDynamics, not just in this project</w:t>
      </w:r>
    </w:p>
    <w:p>
      <w:pPr>
        <w:pStyle w:val="Heading2"/>
        <w:spacing w:after="120" w:before="240"/>
      </w:pPr>
      <w:r>
        <w:rPr>
          <w:rFonts w:ascii="Arial" w:cs="Arial" w:eastAsia="Arial" w:hAnsi="Arial"/>
          <w:b/>
          <w:bCs/>
          <w:color w:val="2E5FA3"/>
          <w:sz w:val="24"/>
          <w:szCs w:val="24"/>
        </w:rPr>
        <w:t xml:space="preserve">7.3 Your Core Value Statement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after="60"/>
            </w:pPr>
            <w:r>
              <w:rPr>
                <w:rFonts w:ascii="Arial" w:cs="Arial" w:eastAsia="Arial" w:hAnsi="Arial"/>
                <w:b/>
                <w:bCs/>
                <w:color w:val="1F3864"/>
                <w:sz w:val="22"/>
                <w:szCs w:val="22"/>
              </w:rPr>
              <w:t xml:space="preserve">🎯  Your Pitch (One Paragraph)  </w:t>
            </w:r>
          </w:p>
          <w:p>
            <w:pPr>
              <w:spacing w:after="0"/>
            </w:pPr>
            <w:r>
              <w:rPr>
                <w:rFonts w:ascii="Arial" w:cs="Arial" w:eastAsia="Arial" w:hAnsi="Arial"/>
                <w:sz w:val="22"/>
                <w:szCs w:val="22"/>
              </w:rPr>
              <w:t xml:space="preserve">I bring enhanced sampling expertise (LiGaMD3) and ML modeling skills (XGBoost, LSTM) that allow me to do something no one in this project can do alone: translate MetaDynamics free-energy landscapes into quantitative reward signals for de novo enzyme design. This bridges Osuna's physics-based conformational analysis with Baker-style generative protein design — a connection that has not been made explicitly in the TrpB D-form synthesis literature.</w:t>
            </w:r>
          </w:p>
        </w:tc>
      </w:tr>
    </w:tbl>
    <w:p>
      <w:r>
        <w:br w:type="page"/>
      </w:r>
    </w:p>
    <w:p>
      <w:pPr>
        <w:pStyle w:val="Heading1"/>
        <w:spacing w:after="180" w:before="360"/>
      </w:pPr>
      <w:r>
        <w:rPr>
          <w:rFonts w:ascii="Arial" w:cs="Arial" w:eastAsia="Arial" w:hAnsi="Arial"/>
          <w:b/>
          <w:bCs/>
          <w:color w:val="1F3864"/>
          <w:sz w:val="28"/>
          <w:szCs w:val="28"/>
        </w:rPr>
        <w:t xml:space="preserve">Chapter 8: Reading Guide &amp; 10-Week Action Plan</w:t>
      </w:r>
    </w:p>
    <w:p>
      <w:pPr>
        <w:pBdr>
          <w:bottom w:val="single" w:color="2E5FA3" w:sz="4"/>
        </w:pBdr>
        <w:spacing w:after="120" w:before="120"/>
      </w:pPr>
    </w:p>
    <w:p>
      <w:pPr>
        <w:pStyle w:val="Heading2"/>
        <w:spacing w:after="120" w:before="240"/>
      </w:pPr>
      <w:r>
        <w:rPr>
          <w:rFonts w:ascii="Arial" w:cs="Arial" w:eastAsia="Arial" w:hAnsi="Arial"/>
          <w:b/>
          <w:bCs/>
          <w:color w:val="2E5FA3"/>
          <w:sz w:val="24"/>
          <w:szCs w:val="24"/>
        </w:rPr>
        <w:t xml:space="preserve">8.1 Priority Reading List</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c>
          <w:tcPr>
            <w:tcW w:type="dxa" w:w="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Paper</w:t>
            </w:r>
          </w:p>
        </w:tc>
        <w:tc>
          <w:tcPr>
            <w:tcW w:type="dxa" w:w="16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Journal / Year</w:t>
            </w:r>
          </w:p>
        </w:tc>
        <w:tc>
          <w:tcPr>
            <w:tcW w:type="dxa" w:w="41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Focus On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Biocatalyst Extraordinaire (Buller)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ChemBioChem 2021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Catalytic cycle; COMM domain; D-Trp cascade</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COMM domain FEL (Osuna)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JACS 2019</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MetaDynamics CV definition; FEL comparison; Methods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Well-Tempered MetaDynamics (Barducci)</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PRL 2008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WTMetaD math; BIASFACTOR meaning</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SPM method (Osuna)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ACS Catal 2021</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SPM algorithm; experimental validation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MetaDynamics Review (Bussi &amp; Laio)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Nat Rev Phys 2020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CV design principles; convergence criteria</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tAF2-MD (Casadevall et al.)</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Protein Sci 2022</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tAF2 protocol; comparison with MetaDynamics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RFDiffusion2 (Lauko et al.)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Nature Methods 2025</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Design pipeline overview; benchmark results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Standalone TrpB (Buller, PNAS 2015)</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PNAS 2015</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6 mutations; experimental kcat data</w:t>
            </w:r>
          </w:p>
        </w:tc>
      </w:tr>
    </w:tbl>
    <w:p>
      <w:pPr>
        <w:pStyle w:val="Heading2"/>
        <w:spacing w:after="120" w:before="240"/>
      </w:pPr>
      <w:r>
        <w:rPr>
          <w:rFonts w:ascii="Arial" w:cs="Arial" w:eastAsia="Arial" w:hAnsi="Arial"/>
          <w:b/>
          <w:bCs/>
          <w:color w:val="2E5FA3"/>
          <w:sz w:val="24"/>
          <w:szCs w:val="24"/>
        </w:rPr>
        <w:t xml:space="preserve">8.2 10-Week Timeline</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Week</w:t>
            </w:r>
          </w:p>
        </w:tc>
        <w:tc>
          <w:tcPr>
            <w:tcW w:type="dxa" w:w="28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57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Deliverables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Literature &amp; software setup</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Osuna JACS 2019 read; GROMACS + PLUMED installed; alanine dipeptide tutorial complete</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3–4</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TrpB system prep</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GROMACS system of LBCA-TrpB ready; COMM domain CV defined; short unbiased MD run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First MetaDynamics run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WTMetaD 4-walkers run; FEL reconstructed; compare with Osuna paper results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7–8</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Apply to RFDiffusion designs</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Top design candidates from supervisor run through MetaDynamics; FEL features extracted</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Integration &amp; proposal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Reward function draft; LiGaMD vs MetaDynamics comparison started; first proposal to supervisor</w:t>
            </w:r>
          </w:p>
        </w:tc>
      </w:tr>
    </w:tbl>
    <w:p>
      <w:pPr>
        <w:pStyle w:val="Heading2"/>
        <w:spacing w:after="120" w:before="240"/>
      </w:pPr>
      <w:r>
        <w:rPr>
          <w:rFonts w:ascii="Arial" w:cs="Arial" w:eastAsia="Arial" w:hAnsi="Arial"/>
          <w:b/>
          <w:bCs/>
          <w:color w:val="2E5FA3"/>
          <w:sz w:val="24"/>
          <w:szCs w:val="24"/>
        </w:rPr>
        <w:t xml:space="preserve">8.3 Weekly Update Template</w:t>
      </w:r>
    </w:p>
    <w:p>
      <w:pPr>
        <w:spacing w:after="120"/>
      </w:pPr>
      <w:r>
        <w:rPr>
          <w:rFonts w:ascii="Arial" w:cs="Arial" w:eastAsia="Arial" w:hAnsi="Arial"/>
          <w:sz w:val="22"/>
          <w:szCs w:val="22"/>
        </w:rPr>
        <w:t xml:space="preserve">Your supervisor requires weekly updates every Saturday before midnight in the Stack channel. Recommended format:</w:t>
      </w:r>
    </w:p>
    <w:p>
      <w:pPr>
        <w:spacing w:after="0"/>
      </w:pPr>
    </w:p>
    <w:p>
      <w:pPr>
        <w:shd w:fill="F0F0F0" w:val="clear"/>
        <w:spacing w:after="120"/>
      </w:pPr>
      <w:r>
        <w:rPr>
          <w:rFonts w:ascii="Courier New" w:cs="Courier New" w:eastAsia="Courier New" w:hAnsi="Courier New"/>
          <w:color w:val="333333"/>
          <w:sz w:val="18"/>
          <w:szCs w:val="18"/>
        </w:rPr>
        <w:t xml:space="preserve">## Week X Update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Papers Read
</w:t>
      </w:r>
      <w:r>
        <w:rPr>
          <w:rFonts w:ascii="Courier New" w:cs="Courier New" w:eastAsia="Courier New" w:hAnsi="Courier New"/>
          <w:color w:val="333333"/>
          <w:sz w:val="18"/>
          <w:szCs w:val="18"/>
        </w:rPr>
        <w:t xml:space="preserve">- [Paper Title] — Key takeaway: [2-3 sentences]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Technical Progress
</w:t>
      </w:r>
      <w:r>
        <w:rPr>
          <w:rFonts w:ascii="Courier New" w:cs="Courier New" w:eastAsia="Courier New" w:hAnsi="Courier New"/>
          <w:color w:val="333333"/>
          <w:sz w:val="18"/>
          <w:szCs w:val="18"/>
        </w:rPr>
        <w:t xml:space="preserve">- [What you set up or ran]
</w:t>
      </w:r>
      <w:r>
        <w:rPr>
          <w:rFonts w:ascii="Courier New" w:cs="Courier New" w:eastAsia="Courier New" w:hAnsi="Courier New"/>
          <w:color w:val="333333"/>
          <w:sz w:val="18"/>
          <w:szCs w:val="18"/>
        </w:rPr>
        <w:t xml:space="preserve">- Setup parameters: [SIGMA, HEIGHT, PACE, BIASFACTOR, walkers, run length]
</w:t>
      </w:r>
      <w:r>
        <w:rPr>
          <w:rFonts w:ascii="Courier New" w:cs="Courier New" w:eastAsia="Courier New" w:hAnsi="Courier New"/>
          <w:color w:val="333333"/>
          <w:sz w:val="18"/>
          <w:szCs w:val="18"/>
        </w:rPr>
        <w:t xml:space="preserve">- Results: [FEL shape, key observation]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Problems / Questions
</w:t>
      </w:r>
      <w:r>
        <w:rPr>
          <w:rFonts w:ascii="Courier New" w:cs="Courier New" w:eastAsia="Courier New" w:hAnsi="Courier New"/>
          <w:color w:val="333333"/>
          <w:sz w:val="18"/>
          <w:szCs w:val="18"/>
        </w:rPr>
        <w:t xml:space="preserve">- Q: [specific technical question for JP or the group]
</w:t>
      </w:r>
      <w:r>
        <w:rPr>
          <w:rFonts w:ascii="Courier New" w:cs="Courier New" w:eastAsia="Courier New" w:hAnsi="Courier New"/>
          <w:color w:val="333333"/>
          <w:sz w:val="18"/>
          <w:szCs w:val="18"/>
        </w:rPr>
        <w:t xml:space="preserve">
</w:t>
      </w:r>
      <w:r>
        <w:rPr>
          <w:rFonts w:ascii="Courier New" w:cs="Courier New" w:eastAsia="Courier New" w:hAnsi="Courier New"/>
          <w:color w:val="333333"/>
          <w:sz w:val="18"/>
          <w:szCs w:val="18"/>
        </w:rPr>
        <w:t xml:space="preserve">### Next Week Plan
</w:t>
      </w:r>
      <w:r>
        <w:rPr>
          <w:rFonts w:ascii="Courier New" w:cs="Courier New" w:eastAsia="Courier New" w:hAnsi="Courier New"/>
          <w:color w:val="333333"/>
          <w:sz w:val="18"/>
          <w:szCs w:val="18"/>
        </w:rPr>
        <w:t xml:space="preserve">- [Concrete next step]</w:t>
      </w:r>
    </w:p>
    <w:p>
      <w:pPr>
        <w:pStyle w:val="Heading2"/>
        <w:spacing w:after="120" w:before="240"/>
      </w:pPr>
      <w:r>
        <w:rPr>
          <w:rFonts w:ascii="Arial" w:cs="Arial" w:eastAsia="Arial" w:hAnsi="Arial"/>
          <w:b/>
          <w:bCs/>
          <w:color w:val="2E5FA3"/>
          <w:sz w:val="24"/>
          <w:szCs w:val="24"/>
        </w:rPr>
        <w:t xml:space="preserve">8.4 PDB Structures to Download</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3860"/>
      </w:tblGrid>
      <w:tr>
        <w:tc>
          <w:tcPr>
            <w:tcW w:type="dxa" w:w="9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PDB ID</w:t>
            </w:r>
          </w:p>
        </w:tc>
        <w:tc>
          <w:tcPr>
            <w:tcW w:type="dxa" w:w="24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w:t>
            </w:r>
          </w:p>
        </w:tc>
        <w:tc>
          <w:tcPr>
            <w:tcW w:type="dxa" w:w="220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3860"/>
            <w:tcBorders>
              <w:top w:val="single" w:color="AAAAAA" w:sz="1"/>
              <w:left w:val="single" w:color="AAAAAA" w:sz="1"/>
              <w:bottom w:val="single" w:color="AAAAAA" w:sz="1"/>
              <w:right w:val="single" w:color="AAAAAA"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5DW3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PfTrpB standalone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 (resting)</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Starting structure for MetaDynamics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5T5K</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PfTrpB + inhibitor</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Semi-closed</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Partially closed reference for path CV</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1K8Z</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StTrpB in TrpS complex</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Closed (in complex)</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Closed state reference structure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5CEX</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PfTrpB 0B2 variant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Partially closed</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Active standalone variant reference</w:t>
            </w:r>
          </w:p>
        </w:tc>
      </w:tr>
    </w:tbl>
    <w:p>
      <w:pPr>
        <w:spacing w:after="0"/>
      </w:pPr>
    </w:p>
    <w:p>
      <w:pPr>
        <w:spacing w:after="120"/>
      </w:pPr>
      <w:r>
        <w:rPr>
          <w:rFonts w:ascii="Arial" w:cs="Arial" w:eastAsia="Arial" w:hAnsi="Arial"/>
          <w:sz w:val="22"/>
          <w:szCs w:val="22"/>
        </w:rPr>
        <w:t xml:space="preserve">Download at: https://www.rcsb.org — search PDB ID in the search bar.</w:t>
      </w:r>
    </w:p>
    <w:p>
      <w:pPr>
        <w:pStyle w:val="Heading2"/>
        <w:spacing w:after="120" w:before="240"/>
      </w:pPr>
      <w:r>
        <w:rPr>
          <w:rFonts w:ascii="Arial" w:cs="Arial" w:eastAsia="Arial" w:hAnsi="Arial"/>
          <w:b/>
          <w:bCs/>
          <w:color w:val="2E5FA3"/>
          <w:sz w:val="24"/>
          <w:szCs w:val="24"/>
        </w:rPr>
        <w:t xml:space="preserve">8.5 Key Websites and Resources</w:t>
      </w:r>
    </w:p>
    <w:p>
      <w:pPr>
        <w:pStyle w:val="ListParagraph"/>
        <w:numPr>
          <w:ilvl w:val="0"/>
          <w:numId w:val="2"/>
        </w:numPr>
        <w:spacing w:after="80"/>
      </w:pPr>
      <w:r>
        <w:rPr>
          <w:rFonts w:ascii="Arial" w:cs="Arial" w:eastAsia="Arial" w:hAnsi="Arial"/>
          <w:sz w:val="22"/>
          <w:szCs w:val="22"/>
        </w:rPr>
        <w:t xml:space="preserve">PLUMED tutorials: www.plumed.org/tutorials</w:t>
      </w:r>
    </w:p>
    <w:p>
      <w:pPr>
        <w:pStyle w:val="ListParagraph"/>
        <w:numPr>
          <w:ilvl w:val="0"/>
          <w:numId w:val="2"/>
        </w:numPr>
        <w:spacing w:after="80"/>
      </w:pPr>
      <w:r>
        <w:rPr>
          <w:rFonts w:ascii="Arial" w:cs="Arial" w:eastAsia="Arial" w:hAnsi="Arial"/>
          <w:sz w:val="22"/>
          <w:szCs w:val="22"/>
        </w:rPr>
        <w:t xml:space="preserve">SPM webserver: spmosuna.com</w:t>
      </w:r>
    </w:p>
    <w:p>
      <w:pPr>
        <w:pStyle w:val="ListParagraph"/>
        <w:numPr>
          <w:ilvl w:val="0"/>
          <w:numId w:val="2"/>
        </w:numPr>
        <w:spacing w:after="80"/>
      </w:pPr>
      <w:r>
        <w:rPr>
          <w:rFonts w:ascii="Arial" w:cs="Arial" w:eastAsia="Arial" w:hAnsi="Arial"/>
          <w:sz w:val="22"/>
          <w:szCs w:val="22"/>
        </w:rPr>
        <w:t xml:space="preserve">GROMACS manual: manual.gromacs.org</w:t>
      </w:r>
    </w:p>
    <w:p>
      <w:pPr>
        <w:pStyle w:val="ListParagraph"/>
        <w:numPr>
          <w:ilvl w:val="0"/>
          <w:numId w:val="2"/>
        </w:numPr>
        <w:spacing w:after="80"/>
      </w:pPr>
      <w:r>
        <w:rPr>
          <w:rFonts w:ascii="Arial" w:cs="Arial" w:eastAsia="Arial" w:hAnsi="Arial"/>
          <w:sz w:val="22"/>
          <w:szCs w:val="22"/>
        </w:rPr>
        <w:t xml:space="preserve">RFDiffusion2: github.com/RosettaCommons/RFdiffusion</w:t>
      </w:r>
    </w:p>
    <w:p>
      <w:pPr>
        <w:pStyle w:val="ListParagraph"/>
        <w:numPr>
          <w:ilvl w:val="0"/>
          <w:numId w:val="2"/>
        </w:numPr>
        <w:spacing w:after="80"/>
      </w:pPr>
      <w:r>
        <w:rPr>
          <w:rFonts w:ascii="Arial" w:cs="Arial" w:eastAsia="Arial" w:hAnsi="Arial"/>
          <w:sz w:val="22"/>
          <w:szCs w:val="22"/>
        </w:rPr>
        <w:t xml:space="preserve">ProteinMPNN: github.com/dauparas/ProteinMPNN</w:t>
      </w:r>
    </w:p>
    <w:p>
      <w:pPr>
        <w:pStyle w:val="ListParagraph"/>
        <w:numPr>
          <w:ilvl w:val="0"/>
          <w:numId w:val="2"/>
        </w:numPr>
        <w:spacing w:after="80"/>
      </w:pPr>
      <w:r>
        <w:rPr>
          <w:rFonts w:ascii="Arial" w:cs="Arial" w:eastAsia="Arial" w:hAnsi="Arial"/>
          <w:sz w:val="22"/>
          <w:szCs w:val="22"/>
        </w:rPr>
        <w:t xml:space="preserve">UNC Library (for paywalled papers): library.unc.edu</w:t>
      </w:r>
    </w:p>
    <w:p>
      <w:pPr>
        <w:pStyle w:val="ListParagraph"/>
        <w:numPr>
          <w:ilvl w:val="0"/>
          <w:numId w:val="2"/>
        </w:numPr>
        <w:spacing w:after="80"/>
      </w:pPr>
      <w:r>
        <w:rPr>
          <w:rFonts w:ascii="Arial" w:cs="Arial" w:eastAsia="Arial" w:hAnsi="Arial"/>
          <w:sz w:val="22"/>
          <w:szCs w:val="22"/>
        </w:rPr>
        <w:t xml:space="preserve">Osuna Lab publications: www.osunalab.com/publications</w:t>
      </w:r>
    </w:p>
    <w:p>
      <w:r>
        <w:br w:type="page"/>
      </w:r>
    </w:p>
    <w:p>
      <w:pPr>
        <w:pStyle w:val="Heading1"/>
        <w:spacing w:after="180" w:before="360"/>
      </w:pPr>
      <w:r>
        <w:rPr>
          <w:rFonts w:ascii="Arial" w:cs="Arial" w:eastAsia="Arial" w:hAnsi="Arial"/>
          <w:b/>
          <w:bCs/>
          <w:color w:val="1F3864"/>
          <w:sz w:val="28"/>
          <w:szCs w:val="28"/>
        </w:rPr>
        <w:t xml:space="preserve">References</w:t>
      </w:r>
    </w:p>
    <w:p>
      <w:pPr>
        <w:pBdr>
          <w:bottom w:val="single" w:color="2E5FA3" w:sz="4"/>
        </w:pBdr>
        <w:spacing w:after="120" w:before="120"/>
      </w:pPr>
    </w:p>
    <w:p>
      <w:pPr>
        <w:spacing w:after="120"/>
      </w:pPr>
      <w:r>
        <w:rPr>
          <w:rFonts w:ascii="Arial" w:cs="Arial" w:eastAsia="Arial" w:hAnsi="Arial"/>
          <w:sz w:val="22"/>
          <w:szCs w:val="22"/>
        </w:rPr>
        <w:t xml:space="preserve">All DOIs are listed for direct access through UNC Library or institutional proxy.</w:t>
      </w:r>
    </w:p>
    <w:p>
      <w:pPr>
        <w:spacing w:after="0"/>
      </w:pPr>
    </w:p>
    <w:p>
      <w:pPr>
        <w:spacing w:after="120"/>
      </w:pPr>
      <w:r>
        <w:rPr>
          <w:rFonts w:ascii="Arial" w:cs="Arial" w:eastAsia="Arial" w:hAnsi="Arial"/>
          <w:b/>
          <w:bCs/>
          <w:sz w:val="22"/>
          <w:szCs w:val="22"/>
        </w:rPr>
        <w:t xml:space="preserve">1. </w:t>
      </w:r>
      <w:r>
        <w:rPr>
          <w:rFonts w:ascii="Arial" w:cs="Arial" w:eastAsia="Arial" w:hAnsi="Arial"/>
          <w:sz w:val="22"/>
          <w:szCs w:val="22"/>
        </w:rPr>
        <w:t xml:space="preserve">Buller AR et al. (2021) Tryptophan Synthase: Biocatalyst Extraordinaire. ChemBioChem. </w:t>
      </w:r>
      <w:r>
        <w:rPr>
          <w:rFonts w:ascii="Arial" w:cs="Arial" w:eastAsia="Arial" w:hAnsi="Arial"/>
          <w:color w:val="2E5FA3"/>
          <w:sz w:val="22"/>
          <w:szCs w:val="22"/>
        </w:rPr>
        <w:t xml:space="preserve">doi:10.1002/cbic.202000379</w:t>
      </w:r>
      <w:r>
        <w:rPr>
          <w:rFonts w:ascii="Arial" w:cs="Arial" w:eastAsia="Arial" w:hAnsi="Arial"/>
          <w:color w:val="888888"/>
          <w:sz w:val="22"/>
          <w:szCs w:val="22"/>
        </w:rPr>
        <w:t xml:space="preserve">  [PMC7935429]</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Buller AR et al. (2015) Directed evolution of TrpB for stand-alone function. PNAS 112(47):14599–14604. </w:t>
      </w:r>
      <w:r>
        <w:rPr>
          <w:rFonts w:ascii="Arial" w:cs="Arial" w:eastAsia="Arial" w:hAnsi="Arial"/>
          <w:color w:val="2E5FA3"/>
          <w:sz w:val="22"/>
          <w:szCs w:val="22"/>
        </w:rPr>
        <w:t xml:space="preserve">doi:10.1073/pnas.1516401112</w:t>
      </w:r>
      <w:r>
        <w:rPr>
          <w:rFonts w:ascii="Arial" w:cs="Arial" w:eastAsia="Arial" w:hAnsi="Arial"/>
          <w:color w:val="888888"/>
          <w:sz w:val="22"/>
          <w:szCs w:val="22"/>
        </w:rPr>
        <w:t xml:space="preserve">  [PMC4664345]</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Maria-Solano MA, Iglesias-Fernández J, Osuna S. (2019) Deciphering the Allosterically Driven Conformational Ensemble in Tryptophan Synthase Evolution. JACS 141(33):13049–13056. </w:t>
      </w:r>
      <w:r>
        <w:rPr>
          <w:rFonts w:ascii="Arial" w:cs="Arial" w:eastAsia="Arial" w:hAnsi="Arial"/>
          <w:color w:val="2E5FA3"/>
          <w:sz w:val="22"/>
          <w:szCs w:val="22"/>
        </w:rPr>
        <w:t xml:space="preserve">doi:10.1021/jacs.9b03646</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Maria-Solano MA et al. (2021) In Silico Identification and Experimental Validation of Distal Activity-Enhancing Mutations in Tryptophan Synthase. ACS Catal 11:13733–13743. </w:t>
      </w:r>
      <w:r>
        <w:rPr>
          <w:rFonts w:ascii="Arial" w:cs="Arial" w:eastAsia="Arial" w:hAnsi="Arial"/>
          <w:color w:val="2E5FA3"/>
          <w:sz w:val="22"/>
          <w:szCs w:val="22"/>
        </w:rPr>
        <w:t xml:space="preserve">doi:10.1021/acscatal.1c03950</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Casadevall G et al. (2022) Estimating conformational heterogeneity of tryptophan synthase with a template-based AlphaFold2 approach. Protein Sci 31:e4426. </w:t>
      </w:r>
      <w:r>
        <w:rPr>
          <w:rFonts w:ascii="Arial" w:cs="Arial" w:eastAsia="Arial" w:hAnsi="Arial"/>
          <w:color w:val="2E5FA3"/>
          <w:sz w:val="22"/>
          <w:szCs w:val="22"/>
        </w:rPr>
        <w:t xml:space="preserve">doi:10.1002/pro.4426</w:t>
      </w:r>
      <w:r>
        <w:rPr>
          <w:rFonts w:ascii="Arial" w:cs="Arial" w:eastAsia="Arial" w:hAnsi="Arial"/>
          <w:color w:val="888888"/>
          <w:sz w:val="22"/>
          <w:szCs w:val="22"/>
        </w:rPr>
        <w:t xml:space="preserve">  [PMC9601780]</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Duran C, Casadevall G, Osuna S. (2024) Harnessing Conformational Dynamics in Enzyme Catalysis. Faraday Discuss 252:306–322. </w:t>
      </w:r>
      <w:r>
        <w:rPr>
          <w:rFonts w:ascii="Arial" w:cs="Arial" w:eastAsia="Arial" w:hAnsi="Arial"/>
          <w:color w:val="2E5FA3"/>
          <w:sz w:val="22"/>
          <w:szCs w:val="22"/>
        </w:rPr>
        <w:t xml:space="preserve">doi:10.1039/D3FD00156C</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Barducci A, Bussi G, Parrinello M. (2008) Well-Tempered Metadynamics. PRL 100:020603. </w:t>
      </w:r>
      <w:r>
        <w:rPr>
          <w:rFonts w:ascii="Arial" w:cs="Arial" w:eastAsia="Arial" w:hAnsi="Arial"/>
          <w:color w:val="2E5FA3"/>
          <w:sz w:val="22"/>
          <w:szCs w:val="22"/>
        </w:rPr>
        <w:t xml:space="preserve">doi:10.1103/PhysRevLett.100.020603</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Bussi G, Laio A. (2020) Using metadynamics to explore complex free-energy landscapes. Nat Rev Phys 2:200–212. </w:t>
      </w:r>
      <w:r>
        <w:rPr>
          <w:rFonts w:ascii="Arial" w:cs="Arial" w:eastAsia="Arial" w:hAnsi="Arial"/>
          <w:color w:val="2E5FA3"/>
          <w:sz w:val="22"/>
          <w:szCs w:val="22"/>
        </w:rPr>
        <w:t xml:space="preserve">doi:10.1038/s42254-020-0153-0</w:t>
      </w:r>
    </w:p>
    <w:p>
      <w:pPr>
        <w:spacing w:after="120"/>
      </w:pPr>
      <w:r>
        <w:rPr>
          <w:rFonts w:ascii="Arial" w:cs="Arial" w:eastAsia="Arial" w:hAnsi="Arial"/>
          <w:b/>
          <w:bCs/>
          <w:sz w:val="22"/>
          <w:szCs w:val="22"/>
        </w:rPr>
        <w:t xml:space="preserve">9. </w:t>
      </w:r>
      <w:r>
        <w:rPr>
          <w:rFonts w:ascii="Arial" w:cs="Arial" w:eastAsia="Arial" w:hAnsi="Arial"/>
          <w:sz w:val="22"/>
          <w:szCs w:val="22"/>
        </w:rPr>
        <w:t xml:space="preserve">Watson JL et al. (2023) De novo design of protein structure and function with RFdiffusion. Nature 620:1089–1100. </w:t>
      </w:r>
      <w:r>
        <w:rPr>
          <w:rFonts w:ascii="Arial" w:cs="Arial" w:eastAsia="Arial" w:hAnsi="Arial"/>
          <w:color w:val="2E5FA3"/>
          <w:sz w:val="22"/>
          <w:szCs w:val="22"/>
        </w:rPr>
        <w:t xml:space="preserve">doi:10.1038/s41586-023-06415-8</w:t>
      </w:r>
    </w:p>
    <w:p>
      <w:pPr>
        <w:spacing w:after="120"/>
      </w:pPr>
      <w:r>
        <w:rPr>
          <w:rFonts w:ascii="Arial" w:cs="Arial" w:eastAsia="Arial" w:hAnsi="Arial"/>
          <w:b/>
          <w:bCs/>
          <w:sz w:val="22"/>
          <w:szCs w:val="22"/>
        </w:rPr>
        <w:t xml:space="preserve">10. </w:t>
      </w:r>
      <w:r>
        <w:rPr>
          <w:rFonts w:ascii="Arial" w:cs="Arial" w:eastAsia="Arial" w:hAnsi="Arial"/>
          <w:sz w:val="22"/>
          <w:szCs w:val="22"/>
        </w:rPr>
        <w:t xml:space="preserve">Lauko A et al. (2025) Atom-level enzyme active site scaffolding using RFdiffusion2. Nature Methods. </w:t>
      </w:r>
      <w:r>
        <w:rPr>
          <w:rFonts w:ascii="Arial" w:cs="Arial" w:eastAsia="Arial" w:hAnsi="Arial"/>
          <w:color w:val="2E5FA3"/>
          <w:sz w:val="22"/>
          <w:szCs w:val="22"/>
        </w:rPr>
        <w:t xml:space="preserve">doi:10.1038/s41592-025-02975-x</w:t>
      </w:r>
    </w:p>
    <w:p>
      <w:pPr>
        <w:spacing w:after="120"/>
      </w:pPr>
      <w:r>
        <w:rPr>
          <w:rFonts w:ascii="Arial" w:cs="Arial" w:eastAsia="Arial" w:hAnsi="Arial"/>
          <w:b/>
          <w:bCs/>
          <w:sz w:val="22"/>
          <w:szCs w:val="22"/>
        </w:rPr>
        <w:t xml:space="preserve">11. </w:t>
      </w:r>
      <w:r>
        <w:rPr>
          <w:rFonts w:ascii="Arial" w:cs="Arial" w:eastAsia="Arial" w:hAnsi="Arial"/>
          <w:sz w:val="22"/>
          <w:szCs w:val="22"/>
        </w:rPr>
        <w:t xml:space="preserve">Herger M et al. (2016) Synthesis of β-branched tryptophan analogs. JACS 138(27):8388–8391. </w:t>
      </w:r>
      <w:r>
        <w:rPr>
          <w:rFonts w:ascii="Arial" w:cs="Arial" w:eastAsia="Arial" w:hAnsi="Arial"/>
          <w:color w:val="2E5FA3"/>
          <w:sz w:val="22"/>
          <w:szCs w:val="22"/>
        </w:rPr>
        <w:t xml:space="preserve">doi:10.1021/jacs.6b04836</w:t>
      </w:r>
      <w:r>
        <w:rPr>
          <w:rFonts w:ascii="Arial" w:cs="Arial" w:eastAsia="Arial" w:hAnsi="Arial"/>
          <w:color w:val="888888"/>
          <w:sz w:val="22"/>
          <w:szCs w:val="22"/>
        </w:rPr>
        <w:t xml:space="preserve">  [PMC4948191]</w:t>
      </w:r>
    </w:p>
    <w:p>
      <w:pPr>
        <w:spacing w:after="120"/>
      </w:pPr>
      <w:r>
        <w:rPr>
          <w:rFonts w:ascii="Arial" w:cs="Arial" w:eastAsia="Arial" w:hAnsi="Arial"/>
          <w:b/>
          <w:bCs/>
          <w:sz w:val="22"/>
          <w:szCs w:val="22"/>
        </w:rPr>
        <w:t xml:space="preserve">12. </w:t>
      </w:r>
      <w:r>
        <w:rPr>
          <w:rFonts w:ascii="Arial" w:cs="Arial" w:eastAsia="Arial" w:hAnsi="Arial"/>
          <w:sz w:val="22"/>
          <w:szCs w:val="22"/>
        </w:rPr>
        <w:t xml:space="preserve">Frontiers in Microbiology (2024) D-tryptophan: biological roles and pharmaceutical significance. </w:t>
      </w:r>
      <w:r>
        <w:rPr>
          <w:rFonts w:ascii="Arial" w:cs="Arial" w:eastAsia="Arial" w:hAnsi="Arial"/>
          <w:color w:val="2E5FA3"/>
          <w:sz w:val="22"/>
          <w:szCs w:val="22"/>
        </w:rPr>
        <w:t xml:space="preserve">doi:10.3389/fmicb.2024.1455540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pBdr>
      <w:spacing w:before="6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tabs>
        <w:tab w:val="right" w:pos="9360"/>
      </w:tabs>
      <w:spacing w:after="60"/>
    </w:pPr>
    <w:r>
      <w:rPr>
        <w:rFonts w:ascii="Arial" w:cs="Arial" w:eastAsia="Arial" w:hAnsi="Arial"/>
        <w:color w:val="595959"/>
        <w:sz w:val="18"/>
        <w:szCs w:val="18"/>
      </w:rPr>
      <w:t xml:space="preserve">TrpB × MetaDynamics × De Novo Enzyme Design</w:t>
    </w:r>
    <w:r>
      <w:rPr>
        <w:rFonts w:ascii="Arial" w:cs="Arial" w:eastAsia="Arial" w:hAnsi="Arial"/>
        <w:sz w:val="18"/>
        <w:szCs w:val="18"/>
      </w:rPr>
      <w:t xml:space="preserve">	</w:t>
    </w:r>
    <w:r>
      <w:rPr>
        <w:rFonts w:ascii="Arial" w:cs="Arial" w:eastAsia="Arial" w:hAnsi="Arial"/>
        <w:b/>
        <w:bCs/>
        <w:color w:val="2E5FA3"/>
        <w:sz w:val="18"/>
        <w:szCs w:val="18"/>
      </w:rPr>
      <w:t xml:space="preserve">Deep Research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2026-03-18T23:29:02.807Z</dcterms:created>
  <dcterms:modified xsi:type="dcterms:W3CDTF">2026-03-18T23:29:02.810Z</dcterms:modified>
</cp:coreProperties>
</file>

<file path=docProps/custom.xml><?xml version="1.0" encoding="utf-8"?>
<Properties xmlns="http://schemas.openxmlformats.org/officeDocument/2006/custom-properties" xmlns:vt="http://schemas.openxmlformats.org/officeDocument/2006/docPropsVTypes"/>
</file>