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TrpB 构象动力学、Metadynamics 与生成式酶设计</w:t>
        <w:br/>
        <w:t>技术综述与上手文稿</w:t>
      </w:r>
    </w:p>
    <w:p>
      <w:pPr>
        <w:jc w:val="center"/>
      </w:pPr>
      <w:r>
        <w:rPr>
          <w:i/>
          <w:sz w:val="22"/>
        </w:rPr>
        <w:t>面向 TrpB / COMM domain / SPM / tAF2-MD / Wet Lab 验证流程</w:t>
      </w:r>
    </w:p>
    <w:p>
      <w:pPr>
        <w:jc w:val="center"/>
      </w:pPr>
      <w:r>
        <w:rPr>
          <w:b/>
        </w:rPr>
        <w:t>版本：2026-03-18</w:t>
        <w:br/>
      </w:r>
      <w:r>
        <w:t>说明：本文基于公开可访问文献整理，重点服务于快速进入课题、理解研究逻辑、搭建可执行工作流。</w:t>
      </w:r>
    </w:p>
    <w:p/>
    <w:p>
      <w:pPr>
        <w:pStyle w:val="Heading1"/>
      </w:pPr>
      <w:r>
        <w:t>一、摘要</w:t>
      </w:r>
    </w:p>
    <w:p>
      <w:r>
        <w:t>TrpB（tryptophan synthase β-subunit）是色氨酸合酶复合体中的 β 亚基，天然功能是在 PLP 辅酶参与下，将 indole 与 L-serine 偶联生成 L-tryptophan。它不是一个“单一静态结构”的催化器，而是一个依赖多构象能量面运作的动态体系，尤其依赖 COMM domain 在 open、partially closed、closed 等状态之间切换。</w:t>
      </w:r>
    </w:p>
    <w:p>
      <w:r>
        <w:t>Osuna 这条研究线的核心观点是：TrpB 的功能优化本质上不是简单的“活性位点几何修补”，而是对构象自由能地貌（free-energy landscape, FEL）的重塑。远端突变、伴侣亚基 TrpA 的结合、以及工程化改造，都可以通过改变 open/closed 状态的相对稳定性与转化路径，提升 stand-alone 活性。</w:t>
      </w:r>
    </w:p>
    <w:p>
      <w:r>
        <w:t>Metadynamics 在这一体系中的真正价值，不是“再跑一种 MD”，而是把难以观察的稀有构象转变显性化，重建 FEL，并进一步把这些 FEL 指标转成可用于设计、筛选、排序、甚至奖励函数构建的物理信号。</w:t>
      </w:r>
    </w:p>
    <w:p>
      <w:r>
        <w:t>当前最有前景的路线不是对所有候选都做重型 metadynamics，而是采用分层工作流：先用 template-based AlphaFold2（tAF2）+ short MD + SPM 做快速预筛，再对少量高价值候选做 multiple-walker well-tempered metadynamics，最后把得到的自由能指标反哺生成式设计与 Wet Lab 实验。</w:t>
      </w:r>
    </w:p>
    <w:p>
      <w:pPr>
        <w:pStyle w:val="Heading1"/>
      </w:pPr>
      <w:r>
        <w:t>二、TrpB 体系的生物化学与构象动力学背景</w:t>
      </w:r>
    </w:p>
    <w:p>
      <w:r>
        <w:t>色氨酸合酶（TrpS）通常以 αββα 复合体形式存在。TrpA 负责把 indole-3-glycerol phosphate 裂解为 indole；indole 通过内部通道传递至 TrpB；TrpB 在 PLP 辅酶帮助下，使 indole 与 L-serine 发生 β-取代反应，生成 L-tryptophan。这个体系是经典的底物通道化与变构耦合模型。</w:t>
      </w:r>
    </w:p>
    <w:p>
      <w:r>
        <w:t>对当前项目最关键的一点在于：TrpB 的催化效率不是单纯取决于活性位点“有没有对齐”，而是取决于哪些构象状态更稳定、哪些状态更容易互相切换。Osuna 组与相关工作都反复强调 COMM domain 的开合是理解 TrpB 功能的核心。closed 状态通常更接近 catalytically competent state，而过度僵硬或过度开放都可能降低整体循环效率。</w:t>
      </w:r>
    </w:p>
    <w:p>
      <w:r>
        <w:t>2019 年 JACS 工作指出，恢复 stand-alone TrpB 活性的关键在于恢复其被 allostery 驱动的构象系综，而不是只改局部残基。这直接把 TrpB 设计问题改写为 population shift problem：设计的目标是把系统的平衡分布推向更有利的 basin。</w:t>
      </w:r>
    </w:p>
    <w:p>
      <w:pPr>
        <w:pStyle w:val="Heading1"/>
      </w:pPr>
      <w:r>
        <w:t>三、Osuna 研究线目前在做什么</w:t>
      </w:r>
    </w:p>
    <w:p>
      <w:r>
        <w:t>Osuna 组围绕 TrpB 已逐步建立了一条连续的方法学路径：先用昂贵但高保真的 free-energy landscape 重建方法（multiple-walker well-tempered metadynamics）作为“真值参考”，再开发更便宜的近似流程（template-based AF2 + short MD + SPM）去逼近并替代这些重型计算，用于大规模筛选。</w:t>
      </w:r>
    </w:p>
    <w:p>
      <w:r>
        <w:t>2022 年 Protein Science 论文提出了 template-based AlphaFold2 估计 TrpB 构象异质性的思路，并直接把 TrpB 的 open / partially closed / closed 地貌作为建模对象。2024 年 Faraday Discussions 论文则进一步展示：tAF2 + 20–50 ns MD + SPM 已经可以较好地恢复与 metadynamics 一致的关键动态信息，可用于识别与 conformational dynamics 相关的重要位点。</w:t>
      </w:r>
    </w:p>
    <w:p>
      <w:r>
        <w:t>SPM（Shortest Path Map）方法的价值在于，它把“动力学相关性”转成更可操作的位点网络：通过距离矩阵与动态相关矩阵构图，筛出对构象通信最关键的残基与边，从而缩小 redesign 时需要重点考察的序列空间。对课题组而言，这意味着 dynamics 不再只是解释工具，也变成了设计提案生成器。</w:t>
      </w:r>
    </w:p>
    <w:p>
      <w:pPr>
        <w:pStyle w:val="Heading1"/>
      </w:pPr>
      <w:r>
        <w:t>四、Metadynamics 在整个流程中如何运作</w:t>
      </w:r>
    </w:p>
    <w:p>
      <w:r>
        <w:t>Metadynamics 的理论核心是：在选定的 collective variables（CVs）空间中，沿着系统已访问的区域不断沉积偏置势（Gaussian hills），把体系推出已探索的局部能谷，从而更快采样 rare events 并重建自由能面。2002 年 Laio 与 Parrinello 提出原始 metadynamics；2008 年 Barducci、Bussi 与 Parrinello 提出的 well-tempered metadynamics 则通过 bias factor 控制偏置增长，使重建的 FES 更平滑、更可收敛。</w:t>
      </w:r>
    </w:p>
    <w:p>
      <w:r>
        <w:t>在 TrpB 体系中，最合理的 CV 不是随便取一个距离，而是围绕 COMM domain 的 open-to-closed 转变来定义。Osuna 体系常把 FEL 表示为两维：一维是沿 O→C 参考路径的 progress，另一维是对该路径的偏离（path deviation / MSD from path）。这意味着实际搭建时，最佳入门路线是 path CV，而不是盲目使用一堆互不相干的简单距离。</w:t>
      </w:r>
    </w:p>
    <w:p>
      <w:r>
        <w:t>Metadynamics 在项目中的角色应理解为：它是高保真机制标签生成器。你可以从它得到 closed state 的相对稳定性、O→C barrier、不同 basin 的概率占比、甚至 off-path excursion 的惩罚量。这些量随后可以转化为 ranking signal、reward term、surrogate model 标签，而不是仅停留在“我跑出了一张 FES 图”。</w:t>
      </w:r>
    </w:p>
    <w:p>
      <w:pPr>
        <w:pStyle w:val="Heading1"/>
      </w:pPr>
      <w:r>
        <w:t>五、当前常见方法盘点：从便宜到昂贵</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2408"/>
            <w:vAlign w:val="center"/>
          </w:tcPr>
          <w:p>
            <w:r>
              <w:t>方法</w:t>
            </w:r>
          </w:p>
        </w:tc>
        <w:tc>
          <w:tcPr>
            <w:tcW w:type="dxa" w:w="2408"/>
            <w:vAlign w:val="center"/>
          </w:tcPr>
          <w:p>
            <w:r>
              <w:t>输入/输出</w:t>
            </w:r>
          </w:p>
        </w:tc>
        <w:tc>
          <w:tcPr>
            <w:tcW w:type="dxa" w:w="2408"/>
            <w:vAlign w:val="center"/>
          </w:tcPr>
          <w:p>
            <w:r>
              <w:t>优势</w:t>
            </w:r>
          </w:p>
        </w:tc>
        <w:tc>
          <w:tcPr>
            <w:tcW w:type="dxa" w:w="2408"/>
            <w:vAlign w:val="center"/>
          </w:tcPr>
          <w:p>
            <w:r>
              <w:t>局限</w:t>
            </w:r>
          </w:p>
        </w:tc>
      </w:tr>
      <w:tr>
        <w:tc>
          <w:tcPr>
            <w:tcW w:type="dxa" w:w="2408"/>
            <w:vAlign w:val="center"/>
          </w:tcPr>
          <w:p>
            <w:r>
              <w:t>tAF2</w:t>
            </w:r>
          </w:p>
        </w:tc>
        <w:tc>
          <w:tcPr>
            <w:tcW w:type="dxa" w:w="2408"/>
            <w:vAlign w:val="center"/>
          </w:tcPr>
          <w:p>
            <w:r>
              <w:t>输入序列或模板信息；输出多构象结构候选</w:t>
            </w:r>
          </w:p>
        </w:tc>
        <w:tc>
          <w:tcPr>
            <w:tcW w:type="dxa" w:w="2408"/>
            <w:vAlign w:val="center"/>
          </w:tcPr>
          <w:p>
            <w:r>
              <w:t>便宜、快、适合大规模预筛</w:t>
            </w:r>
          </w:p>
        </w:tc>
        <w:tc>
          <w:tcPr>
            <w:tcW w:type="dxa" w:w="2408"/>
            <w:vAlign w:val="center"/>
          </w:tcPr>
          <w:p>
            <w:r>
              <w:t>不是严格自由能方法</w:t>
            </w:r>
          </w:p>
        </w:tc>
      </w:tr>
      <w:tr>
        <w:tc>
          <w:tcPr>
            <w:tcW w:type="dxa" w:w="2408"/>
            <w:vAlign w:val="center"/>
          </w:tcPr>
          <w:p>
            <w:r>
              <w:t>Short MD</w:t>
            </w:r>
          </w:p>
        </w:tc>
        <w:tc>
          <w:tcPr>
            <w:tcW w:type="dxa" w:w="2408"/>
            <w:vAlign w:val="center"/>
          </w:tcPr>
          <w:p>
            <w:r>
              <w:t>输入结构；输出短时构象采样轨迹</w:t>
            </w:r>
          </w:p>
        </w:tc>
        <w:tc>
          <w:tcPr>
            <w:tcW w:type="dxa" w:w="2408"/>
            <w:vAlign w:val="center"/>
          </w:tcPr>
          <w:p>
            <w:r>
              <w:t>可检验局部稳定性与初步构象趋势</w:t>
            </w:r>
          </w:p>
        </w:tc>
        <w:tc>
          <w:tcPr>
            <w:tcW w:type="dxa" w:w="2408"/>
            <w:vAlign w:val="center"/>
          </w:tcPr>
          <w:p>
            <w:r>
              <w:t>难见稀有事件</w:t>
            </w:r>
          </w:p>
        </w:tc>
      </w:tr>
      <w:tr>
        <w:tc>
          <w:tcPr>
            <w:tcW w:type="dxa" w:w="2408"/>
            <w:vAlign w:val="center"/>
          </w:tcPr>
          <w:p>
            <w:r>
              <w:t>SPM</w:t>
            </w:r>
          </w:p>
        </w:tc>
        <w:tc>
          <w:tcPr>
            <w:tcW w:type="dxa" w:w="2408"/>
            <w:vAlign w:val="center"/>
          </w:tcPr>
          <w:p>
            <w:r>
              <w:t>输入 MD 轨迹；输出关键通信位点/路径</w:t>
            </w:r>
          </w:p>
        </w:tc>
        <w:tc>
          <w:tcPr>
            <w:tcW w:type="dxa" w:w="2408"/>
            <w:vAlign w:val="center"/>
          </w:tcPr>
          <w:p>
            <w:r>
              <w:t>可把 dynamics 转成 design hotspots</w:t>
            </w:r>
          </w:p>
        </w:tc>
        <w:tc>
          <w:tcPr>
            <w:tcW w:type="dxa" w:w="2408"/>
            <w:vAlign w:val="center"/>
          </w:tcPr>
          <w:p>
            <w:r>
              <w:t>依赖轨迹质量</w:t>
            </w:r>
          </w:p>
        </w:tc>
      </w:tr>
      <w:tr>
        <w:tc>
          <w:tcPr>
            <w:tcW w:type="dxa" w:w="2408"/>
            <w:vAlign w:val="center"/>
          </w:tcPr>
          <w:p>
            <w:r>
              <w:t>WT-MetaD</w:t>
            </w:r>
          </w:p>
        </w:tc>
        <w:tc>
          <w:tcPr>
            <w:tcW w:type="dxa" w:w="2408"/>
            <w:vAlign w:val="center"/>
          </w:tcPr>
          <w:p>
            <w:r>
              <w:t>输入结构与 CV；输出 FES、basin、barrier</w:t>
            </w:r>
          </w:p>
        </w:tc>
        <w:tc>
          <w:tcPr>
            <w:tcW w:type="dxa" w:w="2408"/>
            <w:vAlign w:val="center"/>
          </w:tcPr>
          <w:p>
            <w:r>
              <w:t>可重建 rare event 相关自由能地貌</w:t>
            </w:r>
          </w:p>
        </w:tc>
        <w:tc>
          <w:tcPr>
            <w:tcW w:type="dxa" w:w="2408"/>
            <w:vAlign w:val="center"/>
          </w:tcPr>
          <w:p>
            <w:r>
              <w:t>昂贵，CV 选取敏感</w:t>
            </w:r>
          </w:p>
        </w:tc>
      </w:tr>
      <w:tr>
        <w:tc>
          <w:tcPr>
            <w:tcW w:type="dxa" w:w="2408"/>
            <w:vAlign w:val="center"/>
          </w:tcPr>
          <w:p>
            <w:r>
              <w:t>生成式模型（RFdiffusion / protein LM）</w:t>
            </w:r>
          </w:p>
        </w:tc>
        <w:tc>
          <w:tcPr>
            <w:tcW w:type="dxa" w:w="2408"/>
            <w:vAlign w:val="center"/>
          </w:tcPr>
          <w:p>
            <w:r>
              <w:t>输入目标约束；输出候选骨架或序列</w:t>
            </w:r>
          </w:p>
        </w:tc>
        <w:tc>
          <w:tcPr>
            <w:tcW w:type="dxa" w:w="2408"/>
            <w:vAlign w:val="center"/>
          </w:tcPr>
          <w:p>
            <w:r>
              <w:t>覆盖大搜索空间、可直接生成候选</w:t>
            </w:r>
          </w:p>
        </w:tc>
        <w:tc>
          <w:tcPr>
            <w:tcW w:type="dxa" w:w="2408"/>
            <w:vAlign w:val="center"/>
          </w:tcPr>
          <w:p>
            <w:r>
              <w:t>需要外部打分与物理约束</w:t>
            </w:r>
          </w:p>
        </w:tc>
      </w:tr>
    </w:tbl>
    <w:p>
      <w:r>
        <w:t>推荐理解方式：这些方法不是互相替代，而是形成分层工作流。生成式模型负责“提出候选”，tAF2/short MD/SPM 负责“便宜筛选”，metadynamics 负责“高保真打分与机制确认”。</w:t>
      </w:r>
    </w:p>
    <w:p>
      <w:pPr>
        <w:pStyle w:val="Heading1"/>
      </w:pPr>
      <w:r>
        <w:t>六、导师愿景中的“目标构型”到底代表什么</w:t>
      </w:r>
    </w:p>
    <w:p>
      <w:r>
        <w:t>从你提供的会话内容看，导师与学长当前的真实愿景并不是“单纯把一个结构改成另一个结构”，而是想找出如何让 TrpB 更稳定地访问某个天然不常见、但对目标反应更有利的构象亚群。这里的重点不是字面上的 L 或 D 本身，而是与该立体化学结果、底物预组织方式、active-site 关闭程度、过渡态几何约束相匹配的那一小群构象。</w:t>
      </w:r>
    </w:p>
    <w:p>
      <w:r>
        <w:t>天然 TrpB 的生理功能是形成 L-tryptophan，因此如果项目希望走向非常规立体选择性或非天然产物，真正要改变的往往不是单一步“产物构型标签”，而是反应前组织（pre-reactive organization）、底物进入方式、活性位点封闭时机、以及关键中间体停留时间。Metadynamics 能帮你回答的，正是‘哪类设计更容易进入支持目标化学的构象盆地’。</w:t>
      </w:r>
    </w:p>
    <w:p>
      <w:r>
        <w:t>因此，在技术表述上，最强的说法不是“我要跑 metadynamics 看能不能生成某构型”，而是“我要评估候选设计是否更稳定地占据支持目标反应的 productive ensemble，并把这种占据倾向量化成可用于设计优化的指标”。</w:t>
      </w:r>
    </w:p>
    <w:p>
      <w:pPr>
        <w:pStyle w:val="Heading1"/>
      </w:pPr>
      <w:r>
        <w:t>七、面向生成式设计与 Wet Lab 的完整工作流</w:t>
      </w:r>
    </w:p>
    <w:p>
      <w:pPr>
        <w:pStyle w:val="ListNumber"/>
      </w:pPr>
      <w:r>
        <w:t>1）问题定义：先明确目标不是单一静态结构，而是希望增强哪一种功能相关构象亚群，例如更强 closed-state occupancy、更合理的底物预组织、更低的 O→C barrier，或更高的 stand-alone 活性。</w:t>
      </w:r>
    </w:p>
    <w:p>
      <w:pPr>
        <w:pStyle w:val="ListNumber"/>
      </w:pPr>
      <w:r>
        <w:t>2）候选生成：用 RFdiffusion 生成符合活性位点约束的骨架，或用 protein language model 在 TrpB 同源序列空间中生成变体；同时结合已有活性蓝图、祖先序列、远端热点位点做定向组合。</w:t>
      </w:r>
    </w:p>
    <w:p>
      <w:pPr>
        <w:pStyle w:val="ListNumber"/>
      </w:pPr>
      <w:r>
        <w:t>3）快速结构筛选：对候选做 tAF2 多构象预测，检查是否自然落在 open / PC / closed 的合理范围；剔除明显折叠不可信、活性口袋崩塌、关键基序缺失的序列。</w:t>
      </w:r>
    </w:p>
    <w:p>
      <w:pPr>
        <w:pStyle w:val="ListNumber"/>
      </w:pPr>
      <w:r>
        <w:t>4）短程动力学筛选：对留下来的候选做 10–50 ns 多重复 MD，提取 COMM domain closure 指标、口袋体积、关键残基距离、底物相关几何等粗粒度特征。</w:t>
      </w:r>
    </w:p>
    <w:p>
      <w:pPr>
        <w:pStyle w:val="ListNumber"/>
      </w:pPr>
      <w:r>
        <w:t>5）SPM 分析：在短轨迹上构建动态相关网络，判断候选是否保留或重建了与高活性参考酶相似的通信路径，并据此识别下一轮值得重点修改的远端位点。</w:t>
      </w:r>
    </w:p>
    <w:p>
      <w:pPr>
        <w:pStyle w:val="ListNumber"/>
      </w:pPr>
      <w:r>
        <w:t>6）重型 metadynamics：只对少量 top candidates 跑 multiple-walker well-tempered metadynamics，重建 FEL，提取 ΔG(C−O)、状态概率、barrier、高 z 偏离等指标。</w:t>
      </w:r>
    </w:p>
    <w:p>
      <w:pPr>
        <w:pStyle w:val="ListNumber"/>
      </w:pPr>
      <w:r>
        <w:t>7）设计信号回流：把 metadynamics 输出转成 reward/label，例如‘催化相关 closed state 越稳定分数越高’、‘off-path 偏离越大惩罚越高’，再回流到生成模型排序器或 surrogate model 中。</w:t>
      </w:r>
    </w:p>
    <w:p>
      <w:pPr>
        <w:pStyle w:val="ListNumber"/>
      </w:pPr>
      <w:r>
        <w:t>8）Wet Lab 验证：选择少量高置信候选做表达、纯化、活性测定、底物谱测试、立体选择性测试；如果可能，再结合结构实验或动力学读出验证模型结论。</w:t>
      </w:r>
    </w:p>
    <w:p>
      <w:pPr>
        <w:pStyle w:val="ListNumber"/>
      </w:pPr>
      <w:r>
        <w:t>9）闭环迭代：将实验命中与失败样本一并回收，重新训练 cheap predictor 或修正 reward，使下一轮生成更接近真正有效区域。</w:t>
      </w:r>
    </w:p>
    <w:p>
      <w:pPr>
        <w:pStyle w:val="Heading1"/>
      </w:pPr>
      <w:r>
        <w:t>八、Hands-on 起步建议（前 7–10 天）</w:t>
      </w:r>
    </w:p>
    <w:p>
      <w:pPr>
        <w:pStyle w:val="ListBullet"/>
      </w:pPr>
      <w:r>
        <w:t>先读四篇核心文献：2019 JACS（ensemble）、2022 Protein Science（tAF2 landscape）、2024 Faraday（SPM+tAF2-MD）、2008 PRL（WTMetaD 理论）。</w:t>
      </w:r>
    </w:p>
    <w:p>
      <w:pPr>
        <w:pStyle w:val="ListBullet"/>
      </w:pPr>
      <w:r>
        <w:t>先做最小可复现实验：不必一上来参数化所有复杂中间体，先建立一个能稳定采样 COMM domain 的 TrpB 体系，并定义简单的 path-like CV。</w:t>
      </w:r>
    </w:p>
    <w:p>
      <w:pPr>
        <w:pStyle w:val="ListBullet"/>
      </w:pPr>
      <w:r>
        <w:t>先完成一次‘能解释的失败’：例如 CV 选错、采样不收敛、系统过于僵硬。导师最重视的不是一次跑通，而是你是否能说清楚为什么 A/B 不行、为什么 C 更合理。</w:t>
      </w:r>
    </w:p>
    <w:p>
      <w:pPr>
        <w:pStyle w:val="ListBullet"/>
      </w:pPr>
      <w:r>
        <w:t>把每周更新写成：读了什么、搭了什么、失败了什么、改了什么、下周怎么继续。</w:t>
      </w:r>
    </w:p>
    <w:p>
      <w:pPr>
        <w:pStyle w:val="Heading1"/>
      </w:pPr>
      <w:r>
        <w:t>九、局限与访问说明</w:t>
      </w:r>
    </w:p>
    <w:p>
      <w:r>
        <w:t>本文优先采用公开可访问资料。部分 ACS/Wiley 正文与补充材料中的精确 metadynamics 参数、补充图表、实验细节，可能需要通过 UNC 图书馆订阅、校园 VPN 或学校邮箱单点登录访问。当前环境下，我不能代替你直接登录或操作你的学校邮箱，但我已经把需要优先获取的文献与检索线索整理到参考文献中，方便你在本地完成下载。</w:t>
      </w:r>
    </w:p>
    <w:p>
      <w:pPr>
        <w:pStyle w:val="Heading1"/>
      </w:pPr>
      <w:r>
        <w:t>十、参考文献（建议优先顺序）</w:t>
      </w:r>
    </w:p>
    <w:p>
      <w:pPr>
        <w:pStyle w:val="ListNumber"/>
      </w:pPr>
      <w:r>
        <w:t>Maria-Solano MA, Iglesias-Fernández J, Osuna S. Deciphering the Allosterically Driven Conformational Ensemble in Tryptophan Synthase Evolution. J Am Chem Soc. 2019. PubMed: 31356074.</w:t>
      </w:r>
    </w:p>
    <w:p>
      <w:pPr>
        <w:pStyle w:val="ListNumber"/>
      </w:pPr>
      <w:r>
        <w:t>Casadevall G, Duran C, Estévez-Gay M, Osuna S. Estimating conformational heterogeneity of tryptophan synthase with a template-based Alphafold2 approach. Protein Science. 2022. PubMed: 36173176.</w:t>
      </w:r>
    </w:p>
    <w:p>
      <w:pPr>
        <w:pStyle w:val="ListNumber"/>
      </w:pPr>
      <w:r>
        <w:t>Duran C, Casadevall G, Osuna S. Harnessing conformational dynamics in enzyme catalysis to achieve nature-like catalytic efficiencies: the shortest path map tool for computational enzyme redesign. Faraday Discussions. 2024. DOI: 10.1039/D3FD00156C.</w:t>
      </w:r>
    </w:p>
    <w:p>
      <w:pPr>
        <w:pStyle w:val="ListNumber"/>
      </w:pPr>
      <w:r>
        <w:t>Buller AR, van Roye P, Murciano-Calles J, et al. Directed evolution of the tryptophan synthase β-subunit for stand-alone function recapitulates allosteric activation. Proc Natl Acad Sci USA. 2015. DOI: 10.1073/pnas.1516401112.</w:t>
      </w:r>
    </w:p>
    <w:p>
      <w:pPr>
        <w:pStyle w:val="ListNumber"/>
      </w:pPr>
      <w:r>
        <w:t>Laio A, Parrinello M. Escaping free-energy minima. Proc Natl Acad Sci USA. 2002. PubMed: 12271136.</w:t>
      </w:r>
    </w:p>
    <w:p>
      <w:pPr>
        <w:pStyle w:val="ListNumber"/>
      </w:pPr>
      <w:r>
        <w:t>Barducci A, Bussi G, Parrinello M. Well-Tempered Metadynamics: A Smoothly Converging and Tunable Free-Energy Method. Phys Rev Lett. 2008. PubMed: 18232845.</w:t>
      </w:r>
    </w:p>
    <w:p>
      <w:pPr>
        <w:pStyle w:val="ListNumber"/>
      </w:pPr>
      <w:r>
        <w:t>Watson JL, et al. De novo design of protein structure and function with RFdiffusion. Nature. 2023. DOI: 10.1038/s41586-023-06415-8.</w:t>
      </w:r>
    </w:p>
    <w:p>
      <w:pPr>
        <w:pStyle w:val="Heading1"/>
      </w:pPr>
      <w:r>
        <w:t>附录：你当前最值得强调的个人价值</w:t>
      </w:r>
    </w:p>
    <w:p>
      <w:r>
        <w:t>你的最佳定位不是“我也会跑一个 metadynamics”，而是“我可以把高成本动力学结果转成低成本、可扩展、可进入设计闭环的信号层”。这意味着你能够连接：MD / enhanced sampling、构象机制解释、特征工程、surrogate model、以及最终的 candidate ranking。这个定位比单纯做模拟更契合一个正在推进生成式酶设计课题的团队需求。</w:t>
      </w:r>
    </w:p>
    <w:sectPr w:rsidR="00FC693F" w:rsidRPr="0006063C" w:rsidSect="00034616">
      <w:pgSz w:w="12240" w:h="15840"/>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微软雅黑"/>
      <w:b/>
      <w:bCs/>
      <w:color w:val="143C7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微软雅黑"/>
      <w:b/>
      <w:bCs/>
      <w:color w:val="32323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微软雅黑"/>
      <w:b/>
      <w:bCs/>
      <w:color w:val="46464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黑体"/>
      <w:b/>
      <w:color w:val="143C78"/>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