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B890B4">
      <w:pPr>
        <w:spacing w:before="0" w:after="80"/>
        <w:rPr>
          <w:rFonts w:ascii="Arial" w:hAnsi="Arial" w:eastAsia="Arial" w:cs="Arial"/>
          <w:b/>
          <w:bCs/>
          <w:color w:val="auto"/>
          <w:sz w:val="34"/>
          <w:szCs w:val="34"/>
        </w:rPr>
      </w:pPr>
      <w:r>
        <w:rPr>
          <w:rFonts w:ascii="Arial" w:hAnsi="Arial" w:eastAsia="Arial" w:cs="Arial"/>
          <w:b/>
          <w:bCs/>
          <w:color w:val="auto"/>
          <w:sz w:val="34"/>
          <w:szCs w:val="34"/>
        </w:rPr>
        <w:t>Weekly Research Update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7460"/>
      </w:tblGrid>
      <w:tr w14:paraId="1540C1D0">
        <w:trPr>
          <w:trHeight w:val="97" w:hRule="atLeast"/>
        </w:trPr>
        <w:tc>
          <w:tcPr>
            <w:tcW w:w="1900" w:type="dxa"/>
            <w:tcBorders>
              <w:top w:val="nil"/>
              <w:left w:val="nil"/>
              <w:bottom w:val="nil"/>
              <w:right w:val="nil"/>
            </w:tcBorders>
            <w:shd w:val="clear" w:color="auto" w:fill="FFFFFF" w:themeFill="background1"/>
            <w:tcMar>
              <w:top w:w="65" w:type="dxa"/>
              <w:left w:w="110" w:type="dxa"/>
              <w:bottom w:w="65" w:type="dxa"/>
              <w:right w:w="110" w:type="dxa"/>
            </w:tcMar>
            <w:vAlign w:val="top"/>
          </w:tcPr>
          <w:p w14:paraId="78725A42">
            <w:pPr>
              <w:spacing w:before="0" w:after="0"/>
              <w:jc w:val="left"/>
              <w:rPr>
                <w:rFonts w:ascii="Arial" w:hAnsi="Arial" w:eastAsia="Arial" w:cs="Arial"/>
                <w:color w:val="auto"/>
                <w:sz w:val="22"/>
                <w:szCs w:val="22"/>
              </w:rPr>
            </w:pPr>
            <w:r>
              <w:rPr>
                <w:rFonts w:ascii="Arial" w:hAnsi="Arial" w:eastAsia="Arial" w:cs="Arial"/>
                <w:b/>
                <w:bCs/>
                <w:i w:val="0"/>
                <w:iCs w:val="0"/>
                <w:color w:val="auto"/>
                <w:sz w:val="20"/>
                <w:szCs w:val="20"/>
              </w:rPr>
              <w:t>From:</w:t>
            </w:r>
          </w:p>
        </w:tc>
        <w:tc>
          <w:tcPr>
            <w:tcW w:w="7460" w:type="dxa"/>
            <w:tcBorders>
              <w:top w:val="nil"/>
              <w:left w:val="nil"/>
              <w:bottom w:val="nil"/>
              <w:right w:val="nil"/>
            </w:tcBorders>
            <w:shd w:val="clear" w:color="auto" w:fill="FFFFFF" w:themeFill="background1"/>
            <w:tcMar>
              <w:top w:w="65" w:type="dxa"/>
              <w:left w:w="110" w:type="dxa"/>
              <w:bottom w:w="65" w:type="dxa"/>
              <w:right w:w="110" w:type="dxa"/>
            </w:tcMar>
            <w:vAlign w:val="top"/>
          </w:tcPr>
          <w:p w14:paraId="281648EC">
            <w:pPr>
              <w:spacing w:before="0" w:after="0"/>
              <w:jc w:val="left"/>
              <w:rPr>
                <w:rFonts w:ascii="Arial" w:hAnsi="Arial" w:eastAsia="Arial" w:cs="Arial"/>
                <w:color w:val="auto"/>
                <w:sz w:val="22"/>
                <w:szCs w:val="22"/>
              </w:rPr>
            </w:pPr>
            <w:r>
              <w:rPr>
                <w:rFonts w:ascii="Arial" w:hAnsi="Arial" w:eastAsia="Arial" w:cs="Arial"/>
                <w:b w:val="0"/>
                <w:bCs w:val="0"/>
                <w:i w:val="0"/>
                <w:iCs w:val="0"/>
                <w:color w:val="auto"/>
                <w:sz w:val="20"/>
                <w:szCs w:val="20"/>
              </w:rPr>
              <w:t xml:space="preserve">Zhenpeng Liu  </w:t>
            </w:r>
          </w:p>
        </w:tc>
      </w:tr>
      <w:tr w14:paraId="07C25A43">
        <w:trPr>
          <w:trHeight w:val="374" w:hRule="atLeast"/>
        </w:trPr>
        <w:tc>
          <w:tcPr>
            <w:tcW w:w="1900" w:type="dxa"/>
            <w:tcBorders>
              <w:top w:val="nil"/>
              <w:left w:val="nil"/>
              <w:bottom w:val="nil"/>
              <w:right w:val="nil"/>
            </w:tcBorders>
            <w:shd w:val="clear" w:color="auto" w:fill="FFFFFF" w:themeFill="background1"/>
            <w:tcMar>
              <w:top w:w="65" w:type="dxa"/>
              <w:left w:w="110" w:type="dxa"/>
              <w:bottom w:w="65" w:type="dxa"/>
              <w:right w:w="110" w:type="dxa"/>
            </w:tcMar>
            <w:vAlign w:val="top"/>
          </w:tcPr>
          <w:p w14:paraId="3C85D702">
            <w:pPr>
              <w:spacing w:before="0" w:after="0"/>
              <w:jc w:val="left"/>
              <w:rPr>
                <w:rFonts w:ascii="Arial" w:hAnsi="Arial" w:eastAsia="Arial" w:cs="Arial"/>
                <w:color w:val="auto"/>
                <w:sz w:val="22"/>
                <w:szCs w:val="22"/>
              </w:rPr>
            </w:pPr>
            <w:r>
              <w:rPr>
                <w:rFonts w:ascii="Arial" w:hAnsi="Arial" w:eastAsia="Arial" w:cs="Arial"/>
                <w:b/>
                <w:bCs/>
                <w:i w:val="0"/>
                <w:iCs w:val="0"/>
                <w:color w:val="auto"/>
                <w:sz w:val="20"/>
                <w:szCs w:val="20"/>
              </w:rPr>
              <w:t>Date:</w:t>
            </w:r>
          </w:p>
        </w:tc>
        <w:tc>
          <w:tcPr>
            <w:tcW w:w="7460" w:type="dxa"/>
            <w:tcBorders>
              <w:top w:val="nil"/>
              <w:left w:val="nil"/>
              <w:bottom w:val="nil"/>
              <w:right w:val="nil"/>
            </w:tcBorders>
            <w:shd w:val="clear" w:color="auto" w:fill="FFFFFF" w:themeFill="background1"/>
            <w:tcMar>
              <w:top w:w="65" w:type="dxa"/>
              <w:left w:w="110" w:type="dxa"/>
              <w:bottom w:w="65" w:type="dxa"/>
              <w:right w:w="110" w:type="dxa"/>
            </w:tcMar>
            <w:vAlign w:val="top"/>
          </w:tcPr>
          <w:p w14:paraId="6E69F05D">
            <w:pPr>
              <w:spacing w:before="0" w:after="0"/>
              <w:jc w:val="left"/>
              <w:rPr>
                <w:rFonts w:ascii="Arial" w:hAnsi="Arial" w:eastAsia="Arial" w:cs="Arial"/>
                <w:color w:val="auto"/>
                <w:sz w:val="22"/>
                <w:szCs w:val="22"/>
              </w:rPr>
            </w:pPr>
            <w:r>
              <w:rPr>
                <w:rFonts w:ascii="Arial" w:hAnsi="Arial" w:eastAsia="Arial" w:cs="Arial"/>
                <w:b w:val="0"/>
                <w:bCs w:val="0"/>
                <w:i w:val="0"/>
                <w:iCs w:val="0"/>
                <w:color w:val="auto"/>
                <w:sz w:val="20"/>
                <w:szCs w:val="20"/>
              </w:rPr>
              <w:t>March 2</w:t>
            </w:r>
            <w:r>
              <w:rPr>
                <w:rFonts w:hint="eastAsia" w:eastAsia="SimSun" w:cs="Arial"/>
                <w:b w:val="0"/>
                <w:bCs w:val="0"/>
                <w:i w:val="0"/>
                <w:iCs w:val="0"/>
                <w:color w:val="auto"/>
                <w:sz w:val="20"/>
                <w:szCs w:val="20"/>
                <w:lang w:val="en-US" w:eastAsia="zh-CN"/>
              </w:rPr>
              <w:t>1</w:t>
            </w:r>
            <w:r>
              <w:rPr>
                <w:rFonts w:ascii="Arial" w:hAnsi="Arial" w:eastAsia="Arial" w:cs="Arial"/>
                <w:b w:val="0"/>
                <w:bCs w:val="0"/>
                <w:i w:val="0"/>
                <w:iCs w:val="0"/>
                <w:color w:val="auto"/>
                <w:sz w:val="20"/>
                <w:szCs w:val="20"/>
              </w:rPr>
              <w:t>, 2026</w:t>
            </w:r>
          </w:p>
        </w:tc>
      </w:tr>
      <w:tr w14:paraId="1532008A">
        <w:tc>
          <w:tcPr>
            <w:tcW w:w="1900" w:type="dxa"/>
            <w:tcBorders>
              <w:top w:val="nil"/>
              <w:left w:val="nil"/>
              <w:bottom w:val="nil"/>
              <w:right w:val="nil"/>
            </w:tcBorders>
            <w:shd w:val="clear" w:color="auto" w:fill="FFFFFF" w:themeFill="background1"/>
            <w:tcMar>
              <w:top w:w="65" w:type="dxa"/>
              <w:left w:w="110" w:type="dxa"/>
              <w:bottom w:w="65" w:type="dxa"/>
              <w:right w:w="110" w:type="dxa"/>
            </w:tcMar>
            <w:vAlign w:val="top"/>
          </w:tcPr>
          <w:p w14:paraId="3F3ADB26">
            <w:pPr>
              <w:spacing w:before="0" w:after="0"/>
              <w:jc w:val="left"/>
              <w:rPr>
                <w:rFonts w:ascii="Arial" w:hAnsi="Arial" w:eastAsia="Arial" w:cs="Arial"/>
                <w:color w:val="auto"/>
                <w:sz w:val="22"/>
                <w:szCs w:val="22"/>
              </w:rPr>
            </w:pPr>
            <w:r>
              <w:rPr>
                <w:rFonts w:ascii="Arial" w:hAnsi="Arial" w:eastAsia="Arial" w:cs="Arial"/>
                <w:b/>
                <w:bCs/>
                <w:i w:val="0"/>
                <w:iCs w:val="0"/>
                <w:color w:val="auto"/>
                <w:sz w:val="20"/>
                <w:szCs w:val="20"/>
              </w:rPr>
              <w:t>Week:</w:t>
            </w:r>
          </w:p>
        </w:tc>
        <w:tc>
          <w:tcPr>
            <w:tcW w:w="7460" w:type="dxa"/>
            <w:tcBorders>
              <w:top w:val="nil"/>
              <w:left w:val="nil"/>
              <w:bottom w:val="nil"/>
              <w:right w:val="nil"/>
            </w:tcBorders>
            <w:shd w:val="clear" w:color="auto" w:fill="FFFFFF" w:themeFill="background1"/>
            <w:tcMar>
              <w:top w:w="65" w:type="dxa"/>
              <w:left w:w="110" w:type="dxa"/>
              <w:bottom w:w="65" w:type="dxa"/>
              <w:right w:w="110" w:type="dxa"/>
            </w:tcMar>
            <w:vAlign w:val="top"/>
          </w:tcPr>
          <w:p w14:paraId="512BB411">
            <w:pPr>
              <w:spacing w:before="0" w:after="0"/>
              <w:jc w:val="left"/>
              <w:rPr>
                <w:rFonts w:ascii="Arial" w:hAnsi="Arial" w:eastAsia="Arial" w:cs="Arial"/>
                <w:color w:val="auto"/>
                <w:sz w:val="22"/>
                <w:szCs w:val="22"/>
              </w:rPr>
            </w:pPr>
            <w:r>
              <w:rPr>
                <w:rFonts w:ascii="Arial" w:hAnsi="Arial" w:eastAsia="Arial" w:cs="Arial"/>
                <w:b w:val="0"/>
                <w:bCs w:val="0"/>
                <w:i w:val="0"/>
                <w:iCs w:val="0"/>
                <w:color w:val="auto"/>
                <w:sz w:val="20"/>
                <w:szCs w:val="20"/>
              </w:rPr>
              <w:t>#1  Literature review and project scoping</w:t>
            </w:r>
          </w:p>
        </w:tc>
      </w:tr>
    </w:tbl>
    <w:p w14:paraId="2A126FFA">
      <w:pPr>
        <w:spacing w:before="0" w:after="80"/>
        <w:rPr>
          <w:rFonts w:ascii="Arial" w:hAnsi="Arial" w:eastAsia="Arial" w:cs="Arial"/>
          <w:b/>
          <w:bCs/>
          <w:color w:val="auto"/>
          <w:sz w:val="34"/>
          <w:szCs w:val="34"/>
        </w:rPr>
      </w:pPr>
    </w:p>
    <w:p w14:paraId="113FB9CF">
      <w:pPr>
        <w:pBdr>
          <w:bottom w:val="single" w:color="2563EB" w:sz="8" w:space="5"/>
        </w:pBdr>
        <w:spacing w:before="300" w:after="100"/>
        <w:rPr>
          <w:color w:val="auto"/>
        </w:rPr>
      </w:pPr>
      <w:r>
        <w:rPr>
          <w:rFonts w:ascii="Arial" w:hAnsi="Arial" w:eastAsia="Arial" w:cs="Arial"/>
          <w:b/>
          <w:bCs/>
          <w:color w:val="auto"/>
          <w:sz w:val="30"/>
          <w:szCs w:val="30"/>
        </w:rPr>
        <w:t>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9360"/>
      </w:tblGrid>
      <w:tr w14:paraId="575056AC">
        <w:tc>
          <w:tcPr>
            <w:tcW w:w="9360" w:type="dxa"/>
            <w:tcBorders>
              <w:top w:val="nil"/>
              <w:left w:val="nil"/>
              <w:bottom w:val="nil"/>
              <w:right w:val="nil"/>
            </w:tcBorders>
            <w:shd w:val="clear" w:color="auto" w:fill="FFFFFF" w:themeFill="background1"/>
            <w:tcMar>
              <w:top w:w="110" w:type="dxa"/>
              <w:left w:w="200" w:type="dxa"/>
              <w:bottom w:w="110" w:type="dxa"/>
              <w:right w:w="200" w:type="dxa"/>
            </w:tcMar>
          </w:tcPr>
          <w:p w14:paraId="5DC917F5">
            <w:pPr>
              <w:spacing w:before="0" w:after="0"/>
              <w:jc w:val="left"/>
              <w:rPr>
                <w:color w:val="auto"/>
              </w:rPr>
            </w:pPr>
            <w:r>
              <w:rPr>
                <w:rFonts w:ascii="Arial" w:hAnsi="Arial" w:eastAsia="Arial" w:cs="Arial"/>
                <w:b w:val="0"/>
                <w:bCs w:val="0"/>
                <w:i w:val="0"/>
                <w:iCs w:val="0"/>
                <w:color w:val="auto"/>
                <w:sz w:val="22"/>
                <w:szCs w:val="22"/>
              </w:rPr>
              <w:t>This week I focused on reading the core papers behind the TrpB MetaDynamics project and our lab's 2026 Nature Communications paper on generative TrpB design. The main goal was to understand what MetaDynamics can and cannot tell us about enzyme function, and specifically how it might complement the generative pipeline that our lab has already built. I have not run any simulations yet. The most important open question I want to discuss is how MetaDynamics could serve as a conformational filter for D-tryptophan selectivity, since that is a property that the language model has no training signal for.</w:t>
            </w:r>
          </w:p>
        </w:tc>
      </w:tr>
    </w:tbl>
    <w:p w14:paraId="57EB76EA">
      <w:pPr>
        <w:spacing w:before="0" w:after="140"/>
        <w:rPr>
          <w:color w:val="auto"/>
        </w:rPr>
      </w:pPr>
    </w:p>
    <w:p w14:paraId="756CC6D2">
      <w:pPr>
        <w:pBdr>
          <w:bottom w:val="single" w:color="2563EB" w:sz="8" w:space="5"/>
        </w:pBdr>
        <w:spacing w:before="300" w:after="100"/>
        <w:rPr>
          <w:color w:val="auto"/>
        </w:rPr>
      </w:pPr>
      <w:r>
        <w:rPr>
          <w:rFonts w:ascii="Arial" w:hAnsi="Arial" w:eastAsia="Arial" w:cs="Arial"/>
          <w:b/>
          <w:bCs/>
          <w:color w:val="auto"/>
          <w:sz w:val="30"/>
          <w:szCs w:val="30"/>
        </w:rPr>
        <w:t>1.  Work Done</w:t>
      </w:r>
    </w:p>
    <w:p w14:paraId="42F543CC">
      <w:pPr>
        <w:spacing w:before="0" w:after="30"/>
        <w:rPr>
          <w:color w:val="auto"/>
        </w:rPr>
      </w:pPr>
    </w:p>
    <w:p w14:paraId="1A34E764">
      <w:pPr>
        <w:spacing w:before="90" w:after="90"/>
        <w:jc w:val="left"/>
        <w:rPr>
          <w:color w:val="auto"/>
        </w:rPr>
      </w:pPr>
      <w:r>
        <w:rPr>
          <w:rFonts w:ascii="Arial" w:hAnsi="Arial" w:eastAsia="Arial" w:cs="Arial"/>
          <w:b w:val="0"/>
          <w:bCs w:val="0"/>
          <w:i w:val="0"/>
          <w:iCs w:val="0"/>
          <w:color w:val="auto"/>
          <w:sz w:val="22"/>
          <w:szCs w:val="22"/>
        </w:rPr>
        <w:t>Below is a summary of the papers I went through this week and where I currently stand on each one.</w:t>
      </w:r>
    </w:p>
    <w:p w14:paraId="142E3F1A">
      <w:pPr>
        <w:spacing w:before="0" w:after="50"/>
        <w:rPr>
          <w:color w:val="auto"/>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3"/>
        <w:gridCol w:w="3958"/>
        <w:gridCol w:w="1983"/>
        <w:gridCol w:w="2205"/>
        <w:gridCol w:w="851"/>
      </w:tblGrid>
      <w:tr w14:paraId="5DEF6D4B">
        <w:trPr>
          <w:tblHeader/>
        </w:trPr>
        <w:tc>
          <w:tcPr>
            <w:tcW w:w="380" w:type="dxa"/>
            <w:tcBorders>
              <w:top w:val="single" w:color="D1D5DB" w:sz="0" w:space="0"/>
              <w:left w:val="single" w:color="D1D5DB" w:sz="0" w:space="0"/>
              <w:bottom w:val="single" w:color="D1D5DB" w:sz="0" w:space="0"/>
              <w:right w:val="single" w:color="D1D5DB" w:sz="0" w:space="0"/>
            </w:tcBorders>
            <w:shd w:val="clear" w:color="auto" w:fill="1A2744"/>
            <w:tcMar>
              <w:top w:w="70" w:type="dxa"/>
              <w:left w:w="90" w:type="dxa"/>
              <w:bottom w:w="70" w:type="dxa"/>
              <w:right w:w="90" w:type="dxa"/>
            </w:tcMar>
          </w:tcPr>
          <w:p w14:paraId="5AF0EAC1">
            <w:pPr>
              <w:rPr>
                <w:color w:val="auto"/>
              </w:rPr>
            </w:pPr>
            <w:r>
              <w:rPr>
                <w:rFonts w:ascii="Arial" w:hAnsi="Arial" w:eastAsia="Arial" w:cs="Arial"/>
                <w:b/>
                <w:bCs/>
                <w:color w:val="auto"/>
                <w:sz w:val="19"/>
                <w:szCs w:val="19"/>
              </w:rPr>
              <w:t>#</w:t>
            </w:r>
          </w:p>
        </w:tc>
        <w:tc>
          <w:tcPr>
            <w:tcW w:w="4500" w:type="dxa"/>
            <w:tcBorders>
              <w:top w:val="single" w:color="D1D5DB" w:sz="0" w:space="0"/>
              <w:left w:val="single" w:color="D1D5DB" w:sz="0" w:space="0"/>
              <w:bottom w:val="single" w:color="D1D5DB" w:sz="0" w:space="0"/>
              <w:right w:val="single" w:color="D1D5DB" w:sz="0" w:space="0"/>
            </w:tcBorders>
            <w:shd w:val="clear" w:color="auto" w:fill="1A2744"/>
            <w:tcMar>
              <w:top w:w="70" w:type="dxa"/>
              <w:left w:w="110" w:type="dxa"/>
              <w:bottom w:w="70" w:type="dxa"/>
              <w:right w:w="110" w:type="dxa"/>
            </w:tcMar>
          </w:tcPr>
          <w:p w14:paraId="11B38FB1">
            <w:pPr>
              <w:rPr>
                <w:color w:val="auto"/>
              </w:rPr>
            </w:pPr>
            <w:r>
              <w:rPr>
                <w:rFonts w:ascii="Arial" w:hAnsi="Arial" w:eastAsia="Arial" w:cs="Arial"/>
                <w:b/>
                <w:bCs/>
                <w:color w:val="auto"/>
                <w:sz w:val="19"/>
                <w:szCs w:val="19"/>
              </w:rPr>
              <w:t>Paper</w:t>
            </w:r>
          </w:p>
        </w:tc>
        <w:tc>
          <w:tcPr>
            <w:tcW w:w="2200" w:type="dxa"/>
            <w:tcBorders>
              <w:top w:val="single" w:color="D1D5DB" w:sz="0" w:space="0"/>
              <w:left w:val="single" w:color="D1D5DB" w:sz="0" w:space="0"/>
              <w:bottom w:val="single" w:color="D1D5DB" w:sz="0" w:space="0"/>
              <w:right w:val="single" w:color="D1D5DB" w:sz="0" w:space="0"/>
            </w:tcBorders>
            <w:shd w:val="clear" w:color="auto" w:fill="1A2744"/>
            <w:tcMar>
              <w:top w:w="70" w:type="dxa"/>
              <w:left w:w="110" w:type="dxa"/>
              <w:bottom w:w="70" w:type="dxa"/>
              <w:right w:w="110" w:type="dxa"/>
            </w:tcMar>
          </w:tcPr>
          <w:p w14:paraId="47D2C8B9">
            <w:pPr>
              <w:rPr>
                <w:color w:val="auto"/>
              </w:rPr>
            </w:pPr>
            <w:r>
              <w:rPr>
                <w:rFonts w:ascii="Arial" w:hAnsi="Arial" w:eastAsia="Arial" w:cs="Arial"/>
                <w:b/>
                <w:bCs/>
                <w:color w:val="auto"/>
                <w:sz w:val="19"/>
                <w:szCs w:val="19"/>
              </w:rPr>
              <w:t>Journal</w:t>
            </w:r>
          </w:p>
        </w:tc>
        <w:tc>
          <w:tcPr>
            <w:tcW w:w="1480" w:type="dxa"/>
            <w:tcBorders>
              <w:top w:val="single" w:color="D1D5DB" w:sz="0" w:space="0"/>
              <w:left w:val="single" w:color="D1D5DB" w:sz="0" w:space="0"/>
              <w:bottom w:val="single" w:color="D1D5DB" w:sz="0" w:space="0"/>
              <w:right w:val="single" w:color="D1D5DB" w:sz="0" w:space="0"/>
            </w:tcBorders>
            <w:shd w:val="clear" w:color="auto" w:fill="1A2744"/>
            <w:tcMar>
              <w:top w:w="70" w:type="dxa"/>
              <w:left w:w="110" w:type="dxa"/>
              <w:bottom w:w="70" w:type="dxa"/>
              <w:right w:w="110" w:type="dxa"/>
            </w:tcMar>
          </w:tcPr>
          <w:p w14:paraId="10A890CA">
            <w:pPr>
              <w:rPr>
                <w:color w:val="auto"/>
              </w:rPr>
            </w:pPr>
            <w:r>
              <w:rPr>
                <w:rFonts w:ascii="Arial" w:hAnsi="Arial" w:eastAsia="Arial" w:cs="Arial"/>
                <w:b/>
                <w:bCs/>
                <w:color w:val="auto"/>
                <w:sz w:val="19"/>
                <w:szCs w:val="19"/>
              </w:rPr>
              <w:t>DOI</w:t>
            </w:r>
          </w:p>
        </w:tc>
        <w:tc>
          <w:tcPr>
            <w:tcW w:w="800" w:type="dxa"/>
            <w:tcBorders>
              <w:top w:val="single" w:color="D1D5DB" w:sz="0" w:space="0"/>
              <w:left w:val="single" w:color="D1D5DB" w:sz="0" w:space="0"/>
              <w:bottom w:val="single" w:color="D1D5DB" w:sz="0" w:space="0"/>
              <w:right w:val="single" w:color="D1D5DB" w:sz="0" w:space="0"/>
            </w:tcBorders>
            <w:shd w:val="clear" w:color="auto" w:fill="1A2744"/>
            <w:tcMar>
              <w:top w:w="70" w:type="dxa"/>
              <w:left w:w="90" w:type="dxa"/>
              <w:bottom w:w="70" w:type="dxa"/>
              <w:right w:w="90" w:type="dxa"/>
            </w:tcMar>
          </w:tcPr>
          <w:p w14:paraId="0D27E389">
            <w:pPr>
              <w:jc w:val="center"/>
              <w:rPr>
                <w:color w:val="auto"/>
              </w:rPr>
            </w:pPr>
            <w:r>
              <w:rPr>
                <w:rFonts w:ascii="Arial" w:hAnsi="Arial" w:eastAsia="Arial" w:cs="Arial"/>
                <w:b/>
                <w:bCs/>
                <w:color w:val="auto"/>
                <w:sz w:val="19"/>
                <w:szCs w:val="19"/>
              </w:rPr>
              <w:t>Status</w:t>
            </w:r>
          </w:p>
        </w:tc>
      </w:tr>
      <w:tr w14:paraId="5C9E9BB3">
        <w:tc>
          <w:tcPr>
            <w:tcW w:w="380" w:type="dxa"/>
            <w:tcBorders>
              <w:top w:val="single" w:color="D1D5DB" w:sz="0" w:space="0"/>
              <w:left w:val="single" w:color="D1D5DB" w:sz="0" w:space="0"/>
              <w:bottom w:val="single" w:color="D1D5DB" w:sz="0" w:space="0"/>
              <w:right w:val="single" w:color="D1D5DB" w:sz="0" w:space="0"/>
            </w:tcBorders>
            <w:tcMar>
              <w:top w:w="70" w:type="dxa"/>
              <w:left w:w="90" w:type="dxa"/>
              <w:bottom w:w="70" w:type="dxa"/>
              <w:right w:w="90" w:type="dxa"/>
            </w:tcMar>
          </w:tcPr>
          <w:p w14:paraId="4A15A10B">
            <w:pPr>
              <w:jc w:val="center"/>
              <w:rPr>
                <w:color w:val="auto"/>
              </w:rPr>
            </w:pPr>
            <w:r>
              <w:rPr>
                <w:rFonts w:ascii="Arial" w:hAnsi="Arial" w:eastAsia="Arial" w:cs="Arial"/>
                <w:b/>
                <w:bCs/>
                <w:color w:val="auto"/>
                <w:sz w:val="19"/>
                <w:szCs w:val="19"/>
              </w:rPr>
              <w:t>1</w:t>
            </w:r>
          </w:p>
        </w:tc>
        <w:tc>
          <w:tcPr>
            <w:tcW w:w="4500" w:type="dxa"/>
            <w:tcBorders>
              <w:top w:val="single" w:color="D1D5DB" w:sz="0" w:space="0"/>
              <w:left w:val="single" w:color="D1D5DB" w:sz="0" w:space="0"/>
              <w:bottom w:val="single" w:color="D1D5DB" w:sz="0" w:space="0"/>
              <w:right w:val="single" w:color="D1D5DB" w:sz="0" w:space="0"/>
            </w:tcBorders>
            <w:tcMar>
              <w:top w:w="70" w:type="dxa"/>
              <w:left w:w="110" w:type="dxa"/>
              <w:bottom w:w="70" w:type="dxa"/>
              <w:right w:w="110" w:type="dxa"/>
            </w:tcMar>
          </w:tcPr>
          <w:p w14:paraId="5320A26A">
            <w:pPr>
              <w:spacing w:before="0" w:after="0"/>
              <w:jc w:val="left"/>
              <w:rPr>
                <w:color w:val="auto"/>
              </w:rPr>
            </w:pPr>
            <w:r>
              <w:rPr>
                <w:rFonts w:ascii="Arial" w:hAnsi="Arial" w:eastAsia="Arial" w:cs="Arial"/>
                <w:b w:val="0"/>
                <w:bCs w:val="0"/>
                <w:i w:val="0"/>
                <w:iCs w:val="0"/>
                <w:color w:val="auto"/>
                <w:sz w:val="19"/>
                <w:szCs w:val="19"/>
              </w:rPr>
              <w:t>Maria-Solano, Iglesias-Fernandez, Osuna (2019) Deciphering the Allosterically Driven Conformational Ensemble in Tryptophan Synthase Evolution</w:t>
            </w:r>
          </w:p>
        </w:tc>
        <w:tc>
          <w:tcPr>
            <w:tcW w:w="2200" w:type="dxa"/>
            <w:tcBorders>
              <w:top w:val="single" w:color="D1D5DB" w:sz="0" w:space="0"/>
              <w:left w:val="single" w:color="D1D5DB" w:sz="0" w:space="0"/>
              <w:bottom w:val="single" w:color="D1D5DB" w:sz="0" w:space="0"/>
              <w:right w:val="single" w:color="D1D5DB" w:sz="0" w:space="0"/>
            </w:tcBorders>
            <w:tcMar>
              <w:top w:w="70" w:type="dxa"/>
              <w:left w:w="110" w:type="dxa"/>
              <w:bottom w:w="70" w:type="dxa"/>
              <w:right w:w="110" w:type="dxa"/>
            </w:tcMar>
          </w:tcPr>
          <w:p w14:paraId="38C6FA2A">
            <w:pPr>
              <w:spacing w:before="0" w:after="0"/>
              <w:jc w:val="left"/>
              <w:rPr>
                <w:color w:val="auto"/>
              </w:rPr>
            </w:pPr>
            <w:r>
              <w:rPr>
                <w:rFonts w:ascii="Arial" w:hAnsi="Arial" w:eastAsia="Arial" w:cs="Arial"/>
                <w:b w:val="0"/>
                <w:bCs w:val="0"/>
                <w:i/>
                <w:iCs/>
                <w:color w:val="auto"/>
                <w:sz w:val="18"/>
                <w:szCs w:val="18"/>
              </w:rPr>
              <w:t>JACS</w:t>
            </w:r>
          </w:p>
        </w:tc>
        <w:tc>
          <w:tcPr>
            <w:tcW w:w="1480" w:type="dxa"/>
            <w:tcBorders>
              <w:top w:val="single" w:color="D1D5DB" w:sz="0" w:space="0"/>
              <w:left w:val="single" w:color="D1D5DB" w:sz="0" w:space="0"/>
              <w:bottom w:val="single" w:color="D1D5DB" w:sz="0" w:space="0"/>
              <w:right w:val="single" w:color="D1D5DB" w:sz="0" w:space="0"/>
            </w:tcBorders>
            <w:tcMar>
              <w:top w:w="70" w:type="dxa"/>
              <w:left w:w="110" w:type="dxa"/>
              <w:bottom w:w="70" w:type="dxa"/>
              <w:right w:w="110" w:type="dxa"/>
            </w:tcMar>
          </w:tcPr>
          <w:p w14:paraId="632FCAB3">
            <w:pPr>
              <w:spacing w:before="0" w:after="0"/>
              <w:jc w:val="left"/>
              <w:rPr>
                <w:color w:val="auto"/>
              </w:rPr>
            </w:pPr>
            <w:r>
              <w:rPr>
                <w:rFonts w:ascii="Arial" w:hAnsi="Arial" w:eastAsia="Arial" w:cs="Arial"/>
                <w:b w:val="0"/>
                <w:bCs w:val="0"/>
                <w:i w:val="0"/>
                <w:iCs w:val="0"/>
                <w:color w:val="auto"/>
                <w:sz w:val="17"/>
                <w:szCs w:val="17"/>
              </w:rPr>
              <w:t>10.1021/jacs.9b03646</w:t>
            </w:r>
          </w:p>
        </w:tc>
        <w:tc>
          <w:tcPr>
            <w:tcW w:w="800" w:type="dxa"/>
            <w:tcBorders>
              <w:top w:val="single" w:color="D1D5DB" w:sz="0" w:space="0"/>
              <w:left w:val="single" w:color="D1D5DB" w:sz="0" w:space="0"/>
              <w:bottom w:val="single" w:color="D1D5DB" w:sz="0" w:space="0"/>
              <w:right w:val="single" w:color="D1D5DB" w:sz="0" w:space="0"/>
            </w:tcBorders>
            <w:shd w:val="clear" w:color="auto" w:fill="FFFFFF" w:themeFill="background1"/>
            <w:tcMar>
              <w:top w:w="70" w:type="dxa"/>
              <w:left w:w="90" w:type="dxa"/>
              <w:bottom w:w="70" w:type="dxa"/>
              <w:right w:w="90" w:type="dxa"/>
            </w:tcMar>
          </w:tcPr>
          <w:p w14:paraId="5BE43058">
            <w:pPr>
              <w:jc w:val="center"/>
              <w:rPr>
                <w:color w:val="auto"/>
              </w:rPr>
            </w:pPr>
            <w:r>
              <w:rPr>
                <w:rFonts w:ascii="Arial" w:hAnsi="Arial" w:eastAsia="Arial" w:cs="Arial"/>
                <w:b/>
                <w:bCs/>
                <w:color w:val="auto"/>
                <w:sz w:val="18"/>
                <w:szCs w:val="18"/>
              </w:rPr>
              <w:t>Read</w:t>
            </w:r>
          </w:p>
        </w:tc>
      </w:tr>
      <w:tr w14:paraId="4FE26142">
        <w:tc>
          <w:tcPr>
            <w:tcW w:w="380" w:type="dxa"/>
            <w:tcBorders>
              <w:top w:val="single" w:color="D1D5DB" w:sz="0" w:space="0"/>
              <w:left w:val="single" w:color="D1D5DB" w:sz="0" w:space="0"/>
              <w:bottom w:val="single" w:color="D1D5DB" w:sz="0" w:space="0"/>
              <w:right w:val="single" w:color="D1D5DB" w:sz="0" w:space="0"/>
            </w:tcBorders>
            <w:tcMar>
              <w:top w:w="70" w:type="dxa"/>
              <w:left w:w="90" w:type="dxa"/>
              <w:bottom w:w="70" w:type="dxa"/>
              <w:right w:w="90" w:type="dxa"/>
            </w:tcMar>
          </w:tcPr>
          <w:p w14:paraId="76D5DD54">
            <w:pPr>
              <w:jc w:val="center"/>
              <w:rPr>
                <w:color w:val="auto"/>
              </w:rPr>
            </w:pPr>
            <w:r>
              <w:rPr>
                <w:rFonts w:ascii="Arial" w:hAnsi="Arial" w:eastAsia="Arial" w:cs="Arial"/>
                <w:b/>
                <w:bCs/>
                <w:color w:val="auto"/>
                <w:sz w:val="19"/>
                <w:szCs w:val="19"/>
              </w:rPr>
              <w:t>2</w:t>
            </w:r>
          </w:p>
        </w:tc>
        <w:tc>
          <w:tcPr>
            <w:tcW w:w="4500" w:type="dxa"/>
            <w:tcBorders>
              <w:top w:val="single" w:color="D1D5DB" w:sz="0" w:space="0"/>
              <w:left w:val="single" w:color="D1D5DB" w:sz="0" w:space="0"/>
              <w:bottom w:val="single" w:color="D1D5DB" w:sz="0" w:space="0"/>
              <w:right w:val="single" w:color="D1D5DB" w:sz="0" w:space="0"/>
            </w:tcBorders>
            <w:tcMar>
              <w:top w:w="70" w:type="dxa"/>
              <w:left w:w="110" w:type="dxa"/>
              <w:bottom w:w="70" w:type="dxa"/>
              <w:right w:w="110" w:type="dxa"/>
            </w:tcMar>
          </w:tcPr>
          <w:p w14:paraId="66E709A6">
            <w:pPr>
              <w:spacing w:before="0" w:after="0"/>
              <w:jc w:val="left"/>
              <w:rPr>
                <w:color w:val="auto"/>
              </w:rPr>
            </w:pPr>
            <w:r>
              <w:rPr>
                <w:rFonts w:ascii="Arial" w:hAnsi="Arial" w:eastAsia="Arial" w:cs="Arial"/>
                <w:b w:val="0"/>
                <w:bCs w:val="0"/>
                <w:i w:val="0"/>
                <w:iCs w:val="0"/>
                <w:color w:val="auto"/>
                <w:sz w:val="19"/>
                <w:szCs w:val="19"/>
              </w:rPr>
              <w:t>Maria-Solano, Kinateder, Iglesias-Fernandez, Sterner, Osuna (2021) In Silico Identification and Experimental Validation of Distal Activity-Enhancing Mutations</w:t>
            </w:r>
          </w:p>
        </w:tc>
        <w:tc>
          <w:tcPr>
            <w:tcW w:w="2200" w:type="dxa"/>
            <w:tcBorders>
              <w:top w:val="single" w:color="D1D5DB" w:sz="0" w:space="0"/>
              <w:left w:val="single" w:color="D1D5DB" w:sz="0" w:space="0"/>
              <w:bottom w:val="single" w:color="D1D5DB" w:sz="0" w:space="0"/>
              <w:right w:val="single" w:color="D1D5DB" w:sz="0" w:space="0"/>
            </w:tcBorders>
            <w:tcMar>
              <w:top w:w="70" w:type="dxa"/>
              <w:left w:w="110" w:type="dxa"/>
              <w:bottom w:w="70" w:type="dxa"/>
              <w:right w:w="110" w:type="dxa"/>
            </w:tcMar>
          </w:tcPr>
          <w:p w14:paraId="0620C17A">
            <w:pPr>
              <w:spacing w:before="0" w:after="0"/>
              <w:jc w:val="left"/>
              <w:rPr>
                <w:color w:val="auto"/>
              </w:rPr>
            </w:pPr>
            <w:r>
              <w:rPr>
                <w:rFonts w:ascii="Arial" w:hAnsi="Arial" w:eastAsia="Arial" w:cs="Arial"/>
                <w:b w:val="0"/>
                <w:bCs w:val="0"/>
                <w:i/>
                <w:iCs/>
                <w:color w:val="auto"/>
                <w:sz w:val="18"/>
                <w:szCs w:val="18"/>
              </w:rPr>
              <w:t>ACS Catal.</w:t>
            </w:r>
          </w:p>
        </w:tc>
        <w:tc>
          <w:tcPr>
            <w:tcW w:w="1480" w:type="dxa"/>
            <w:tcBorders>
              <w:top w:val="single" w:color="D1D5DB" w:sz="0" w:space="0"/>
              <w:left w:val="single" w:color="D1D5DB" w:sz="0" w:space="0"/>
              <w:bottom w:val="single" w:color="D1D5DB" w:sz="0" w:space="0"/>
              <w:right w:val="single" w:color="D1D5DB" w:sz="0" w:space="0"/>
            </w:tcBorders>
            <w:tcMar>
              <w:top w:w="70" w:type="dxa"/>
              <w:left w:w="110" w:type="dxa"/>
              <w:bottom w:w="70" w:type="dxa"/>
              <w:right w:w="110" w:type="dxa"/>
            </w:tcMar>
          </w:tcPr>
          <w:p w14:paraId="31D77EDB">
            <w:pPr>
              <w:spacing w:before="0" w:after="0"/>
              <w:jc w:val="left"/>
              <w:rPr>
                <w:color w:val="auto"/>
              </w:rPr>
            </w:pPr>
            <w:r>
              <w:rPr>
                <w:rFonts w:ascii="Arial" w:hAnsi="Arial" w:eastAsia="Arial" w:cs="Arial"/>
                <w:b w:val="0"/>
                <w:bCs w:val="0"/>
                <w:i w:val="0"/>
                <w:iCs w:val="0"/>
                <w:color w:val="auto"/>
                <w:sz w:val="17"/>
                <w:szCs w:val="17"/>
              </w:rPr>
              <w:t>10.1021/acscatal.1c03950</w:t>
            </w:r>
          </w:p>
        </w:tc>
        <w:tc>
          <w:tcPr>
            <w:tcW w:w="800" w:type="dxa"/>
            <w:tcBorders>
              <w:top w:val="single" w:color="D1D5DB" w:sz="0" w:space="0"/>
              <w:left w:val="single" w:color="D1D5DB" w:sz="0" w:space="0"/>
              <w:bottom w:val="single" w:color="D1D5DB" w:sz="0" w:space="0"/>
              <w:right w:val="single" w:color="D1D5DB" w:sz="0" w:space="0"/>
            </w:tcBorders>
            <w:shd w:val="clear" w:color="auto" w:fill="FFFFFF" w:themeFill="background1"/>
            <w:tcMar>
              <w:top w:w="70" w:type="dxa"/>
              <w:left w:w="90" w:type="dxa"/>
              <w:bottom w:w="70" w:type="dxa"/>
              <w:right w:w="90" w:type="dxa"/>
            </w:tcMar>
          </w:tcPr>
          <w:p w14:paraId="35367702">
            <w:pPr>
              <w:jc w:val="center"/>
              <w:rPr>
                <w:color w:val="auto"/>
              </w:rPr>
            </w:pPr>
            <w:r>
              <w:rPr>
                <w:rFonts w:ascii="Arial" w:hAnsi="Arial" w:eastAsia="Arial" w:cs="Arial"/>
                <w:b/>
                <w:bCs/>
                <w:color w:val="auto"/>
                <w:sz w:val="18"/>
                <w:szCs w:val="18"/>
              </w:rPr>
              <w:t>Read</w:t>
            </w:r>
          </w:p>
        </w:tc>
      </w:tr>
      <w:tr w14:paraId="53A7C582">
        <w:tc>
          <w:tcPr>
            <w:tcW w:w="380" w:type="dxa"/>
            <w:tcBorders>
              <w:top w:val="single" w:color="D1D5DB" w:sz="0" w:space="0"/>
              <w:left w:val="single" w:color="D1D5DB" w:sz="0" w:space="0"/>
              <w:bottom w:val="single" w:color="D1D5DB" w:sz="0" w:space="0"/>
              <w:right w:val="single" w:color="D1D5DB" w:sz="0" w:space="0"/>
            </w:tcBorders>
            <w:tcMar>
              <w:top w:w="70" w:type="dxa"/>
              <w:left w:w="90" w:type="dxa"/>
              <w:bottom w:w="70" w:type="dxa"/>
              <w:right w:w="90" w:type="dxa"/>
            </w:tcMar>
          </w:tcPr>
          <w:p w14:paraId="24D2AF69">
            <w:pPr>
              <w:jc w:val="center"/>
              <w:rPr>
                <w:color w:val="auto"/>
              </w:rPr>
            </w:pPr>
            <w:r>
              <w:rPr>
                <w:rFonts w:ascii="Arial" w:hAnsi="Arial" w:eastAsia="Arial" w:cs="Arial"/>
                <w:b/>
                <w:bCs/>
                <w:color w:val="auto"/>
                <w:sz w:val="19"/>
                <w:szCs w:val="19"/>
              </w:rPr>
              <w:t>3</w:t>
            </w:r>
          </w:p>
        </w:tc>
        <w:tc>
          <w:tcPr>
            <w:tcW w:w="4500" w:type="dxa"/>
            <w:tcBorders>
              <w:top w:val="single" w:color="D1D5DB" w:sz="0" w:space="0"/>
              <w:left w:val="single" w:color="D1D5DB" w:sz="0" w:space="0"/>
              <w:bottom w:val="single" w:color="D1D5DB" w:sz="0" w:space="0"/>
              <w:right w:val="single" w:color="D1D5DB" w:sz="0" w:space="0"/>
            </w:tcBorders>
            <w:tcMar>
              <w:top w:w="70" w:type="dxa"/>
              <w:left w:w="110" w:type="dxa"/>
              <w:bottom w:w="70" w:type="dxa"/>
              <w:right w:w="110" w:type="dxa"/>
            </w:tcMar>
          </w:tcPr>
          <w:p w14:paraId="40410AF5">
            <w:pPr>
              <w:spacing w:before="0" w:after="0"/>
              <w:jc w:val="left"/>
              <w:rPr>
                <w:color w:val="auto"/>
              </w:rPr>
            </w:pPr>
            <w:r>
              <w:rPr>
                <w:rFonts w:ascii="Arial" w:hAnsi="Arial" w:eastAsia="Arial" w:cs="Arial"/>
                <w:b w:val="0"/>
                <w:bCs w:val="0"/>
                <w:i w:val="0"/>
                <w:iCs w:val="0"/>
                <w:color w:val="auto"/>
                <w:sz w:val="19"/>
                <w:szCs w:val="19"/>
              </w:rPr>
              <w:t>Lambert, Tavakoli, ..., Anandkumar, Arnold (2026) Sequence-based generative AI design of versatile tryptophan synthases</w:t>
            </w:r>
          </w:p>
        </w:tc>
        <w:tc>
          <w:tcPr>
            <w:tcW w:w="2200" w:type="dxa"/>
            <w:tcBorders>
              <w:top w:val="single" w:color="D1D5DB" w:sz="0" w:space="0"/>
              <w:left w:val="single" w:color="D1D5DB" w:sz="0" w:space="0"/>
              <w:bottom w:val="single" w:color="D1D5DB" w:sz="0" w:space="0"/>
              <w:right w:val="single" w:color="D1D5DB" w:sz="0" w:space="0"/>
            </w:tcBorders>
            <w:tcMar>
              <w:top w:w="70" w:type="dxa"/>
              <w:left w:w="110" w:type="dxa"/>
              <w:bottom w:w="70" w:type="dxa"/>
              <w:right w:w="110" w:type="dxa"/>
            </w:tcMar>
          </w:tcPr>
          <w:p w14:paraId="4A413479">
            <w:pPr>
              <w:spacing w:before="0" w:after="0"/>
              <w:jc w:val="left"/>
              <w:rPr>
                <w:color w:val="auto"/>
              </w:rPr>
            </w:pPr>
            <w:r>
              <w:rPr>
                <w:rFonts w:ascii="Arial" w:hAnsi="Arial" w:eastAsia="Arial" w:cs="Arial"/>
                <w:b w:val="0"/>
                <w:bCs w:val="0"/>
                <w:i/>
                <w:iCs/>
                <w:color w:val="auto"/>
                <w:sz w:val="18"/>
                <w:szCs w:val="18"/>
              </w:rPr>
              <w:t>Nat. Commun.</w:t>
            </w:r>
          </w:p>
        </w:tc>
        <w:tc>
          <w:tcPr>
            <w:tcW w:w="1480" w:type="dxa"/>
            <w:tcBorders>
              <w:top w:val="single" w:color="D1D5DB" w:sz="0" w:space="0"/>
              <w:left w:val="single" w:color="D1D5DB" w:sz="0" w:space="0"/>
              <w:bottom w:val="single" w:color="D1D5DB" w:sz="0" w:space="0"/>
              <w:right w:val="single" w:color="D1D5DB" w:sz="0" w:space="0"/>
            </w:tcBorders>
            <w:tcMar>
              <w:top w:w="70" w:type="dxa"/>
              <w:left w:w="110" w:type="dxa"/>
              <w:bottom w:w="70" w:type="dxa"/>
              <w:right w:w="110" w:type="dxa"/>
            </w:tcMar>
          </w:tcPr>
          <w:p w14:paraId="2909C9BA">
            <w:pPr>
              <w:spacing w:before="0" w:after="0"/>
              <w:jc w:val="left"/>
              <w:rPr>
                <w:color w:val="auto"/>
              </w:rPr>
            </w:pPr>
            <w:r>
              <w:rPr>
                <w:rFonts w:ascii="Arial" w:hAnsi="Arial" w:eastAsia="Arial" w:cs="Arial"/>
                <w:b w:val="0"/>
                <w:bCs w:val="0"/>
                <w:i w:val="0"/>
                <w:iCs w:val="0"/>
                <w:color w:val="auto"/>
                <w:sz w:val="17"/>
                <w:szCs w:val="17"/>
              </w:rPr>
              <w:t>10.1038/s41467-026-68384-6</w:t>
            </w:r>
          </w:p>
        </w:tc>
        <w:tc>
          <w:tcPr>
            <w:tcW w:w="800" w:type="dxa"/>
            <w:tcBorders>
              <w:top w:val="single" w:color="D1D5DB" w:sz="0" w:space="0"/>
              <w:left w:val="single" w:color="D1D5DB" w:sz="0" w:space="0"/>
              <w:bottom w:val="single" w:color="D1D5DB" w:sz="0" w:space="0"/>
              <w:right w:val="single" w:color="D1D5DB" w:sz="0" w:space="0"/>
            </w:tcBorders>
            <w:shd w:val="clear" w:color="auto" w:fill="FFFFFF" w:themeFill="background1"/>
            <w:tcMar>
              <w:top w:w="70" w:type="dxa"/>
              <w:left w:w="90" w:type="dxa"/>
              <w:bottom w:w="70" w:type="dxa"/>
              <w:right w:w="90" w:type="dxa"/>
            </w:tcMar>
          </w:tcPr>
          <w:p w14:paraId="0011D874">
            <w:pPr>
              <w:jc w:val="center"/>
              <w:rPr>
                <w:color w:val="auto"/>
              </w:rPr>
            </w:pPr>
            <w:r>
              <w:rPr>
                <w:rFonts w:ascii="Arial" w:hAnsi="Arial" w:eastAsia="Arial" w:cs="Arial"/>
                <w:b/>
                <w:bCs/>
                <w:color w:val="auto"/>
                <w:sz w:val="18"/>
                <w:szCs w:val="18"/>
              </w:rPr>
              <w:t>Read</w:t>
            </w:r>
          </w:p>
        </w:tc>
      </w:tr>
      <w:tr w14:paraId="3D6F14DF">
        <w:tc>
          <w:tcPr>
            <w:tcW w:w="380" w:type="dxa"/>
            <w:tcBorders>
              <w:top w:val="single" w:color="D1D5DB" w:sz="0" w:space="0"/>
              <w:left w:val="single" w:color="D1D5DB" w:sz="0" w:space="0"/>
              <w:bottom w:val="single" w:color="D1D5DB" w:sz="0" w:space="0"/>
              <w:right w:val="single" w:color="D1D5DB" w:sz="0" w:space="0"/>
            </w:tcBorders>
            <w:tcMar>
              <w:top w:w="70" w:type="dxa"/>
              <w:left w:w="90" w:type="dxa"/>
              <w:bottom w:w="70" w:type="dxa"/>
              <w:right w:w="90" w:type="dxa"/>
            </w:tcMar>
          </w:tcPr>
          <w:p w14:paraId="25AE3A77">
            <w:pPr>
              <w:jc w:val="center"/>
              <w:rPr>
                <w:color w:val="auto"/>
              </w:rPr>
            </w:pPr>
            <w:r>
              <w:rPr>
                <w:rFonts w:ascii="Arial" w:hAnsi="Arial" w:eastAsia="Arial" w:cs="Arial"/>
                <w:b/>
                <w:bCs/>
                <w:color w:val="auto"/>
                <w:sz w:val="19"/>
                <w:szCs w:val="19"/>
              </w:rPr>
              <w:t>4</w:t>
            </w:r>
          </w:p>
        </w:tc>
        <w:tc>
          <w:tcPr>
            <w:tcW w:w="4500" w:type="dxa"/>
            <w:tcBorders>
              <w:top w:val="single" w:color="D1D5DB" w:sz="0" w:space="0"/>
              <w:left w:val="single" w:color="D1D5DB" w:sz="0" w:space="0"/>
              <w:bottom w:val="single" w:color="D1D5DB" w:sz="0" w:space="0"/>
              <w:right w:val="single" w:color="D1D5DB" w:sz="0" w:space="0"/>
            </w:tcBorders>
            <w:tcMar>
              <w:top w:w="70" w:type="dxa"/>
              <w:left w:w="110" w:type="dxa"/>
              <w:bottom w:w="70" w:type="dxa"/>
              <w:right w:w="110" w:type="dxa"/>
            </w:tcMar>
          </w:tcPr>
          <w:p w14:paraId="3F32E04F">
            <w:pPr>
              <w:spacing w:before="0" w:after="0"/>
              <w:jc w:val="left"/>
              <w:rPr>
                <w:color w:val="auto"/>
              </w:rPr>
            </w:pPr>
            <w:r>
              <w:rPr>
                <w:rFonts w:ascii="Arial" w:hAnsi="Arial" w:eastAsia="Arial" w:cs="Arial"/>
                <w:b w:val="0"/>
                <w:bCs w:val="0"/>
                <w:i w:val="0"/>
                <w:iCs w:val="0"/>
                <w:color w:val="auto"/>
                <w:sz w:val="19"/>
                <w:szCs w:val="19"/>
              </w:rPr>
              <w:t>Osuna (2020) The challenge of predicting distal active site mutations in computational enzyme design</w:t>
            </w:r>
          </w:p>
        </w:tc>
        <w:tc>
          <w:tcPr>
            <w:tcW w:w="2200" w:type="dxa"/>
            <w:tcBorders>
              <w:top w:val="single" w:color="D1D5DB" w:sz="0" w:space="0"/>
              <w:left w:val="single" w:color="D1D5DB" w:sz="0" w:space="0"/>
              <w:bottom w:val="single" w:color="D1D5DB" w:sz="0" w:space="0"/>
              <w:right w:val="single" w:color="D1D5DB" w:sz="0" w:space="0"/>
            </w:tcBorders>
            <w:tcMar>
              <w:top w:w="70" w:type="dxa"/>
              <w:left w:w="110" w:type="dxa"/>
              <w:bottom w:w="70" w:type="dxa"/>
              <w:right w:w="110" w:type="dxa"/>
            </w:tcMar>
          </w:tcPr>
          <w:p w14:paraId="2F918318">
            <w:pPr>
              <w:spacing w:before="0" w:after="0"/>
              <w:jc w:val="left"/>
              <w:rPr>
                <w:color w:val="auto"/>
              </w:rPr>
            </w:pPr>
            <w:r>
              <w:rPr>
                <w:rFonts w:ascii="Arial" w:hAnsi="Arial" w:eastAsia="Arial" w:cs="Arial"/>
                <w:b w:val="0"/>
                <w:bCs w:val="0"/>
                <w:i/>
                <w:iCs/>
                <w:color w:val="auto"/>
                <w:sz w:val="18"/>
                <w:szCs w:val="18"/>
              </w:rPr>
              <w:t>WIREs Comput. Mol. Sci.</w:t>
            </w:r>
          </w:p>
        </w:tc>
        <w:tc>
          <w:tcPr>
            <w:tcW w:w="1480" w:type="dxa"/>
            <w:tcBorders>
              <w:top w:val="single" w:color="D1D5DB" w:sz="0" w:space="0"/>
              <w:left w:val="single" w:color="D1D5DB" w:sz="0" w:space="0"/>
              <w:bottom w:val="single" w:color="D1D5DB" w:sz="0" w:space="0"/>
              <w:right w:val="single" w:color="D1D5DB" w:sz="0" w:space="0"/>
            </w:tcBorders>
            <w:tcMar>
              <w:top w:w="70" w:type="dxa"/>
              <w:left w:w="110" w:type="dxa"/>
              <w:bottom w:w="70" w:type="dxa"/>
              <w:right w:w="110" w:type="dxa"/>
            </w:tcMar>
          </w:tcPr>
          <w:p w14:paraId="1D828C92">
            <w:pPr>
              <w:spacing w:before="0" w:after="0"/>
              <w:jc w:val="left"/>
              <w:rPr>
                <w:color w:val="auto"/>
              </w:rPr>
            </w:pPr>
            <w:r>
              <w:rPr>
                <w:rFonts w:ascii="Arial" w:hAnsi="Arial" w:eastAsia="Arial" w:cs="Arial"/>
                <w:b w:val="0"/>
                <w:bCs w:val="0"/>
                <w:i w:val="0"/>
                <w:iCs w:val="0"/>
                <w:color w:val="auto"/>
                <w:sz w:val="17"/>
                <w:szCs w:val="17"/>
              </w:rPr>
              <w:t>10.1002/wcms.1502</w:t>
            </w:r>
          </w:p>
        </w:tc>
        <w:tc>
          <w:tcPr>
            <w:tcW w:w="800" w:type="dxa"/>
            <w:tcBorders>
              <w:top w:val="single" w:color="D1D5DB" w:sz="0" w:space="0"/>
              <w:left w:val="single" w:color="D1D5DB" w:sz="0" w:space="0"/>
              <w:bottom w:val="single" w:color="D1D5DB" w:sz="0" w:space="0"/>
              <w:right w:val="single" w:color="D1D5DB" w:sz="0" w:space="0"/>
            </w:tcBorders>
            <w:shd w:val="clear" w:color="auto" w:fill="FFFFFF" w:themeFill="background1"/>
            <w:tcMar>
              <w:top w:w="70" w:type="dxa"/>
              <w:left w:w="90" w:type="dxa"/>
              <w:bottom w:w="70" w:type="dxa"/>
              <w:right w:w="90" w:type="dxa"/>
            </w:tcMar>
          </w:tcPr>
          <w:p w14:paraId="1E5447F4">
            <w:pPr>
              <w:jc w:val="center"/>
              <w:rPr>
                <w:color w:val="auto"/>
              </w:rPr>
            </w:pPr>
            <w:r>
              <w:rPr>
                <w:rFonts w:ascii="Arial" w:hAnsi="Arial" w:eastAsia="Arial" w:cs="Arial"/>
                <w:b/>
                <w:bCs/>
                <w:color w:val="auto"/>
                <w:sz w:val="18"/>
                <w:szCs w:val="18"/>
              </w:rPr>
              <w:t>Queued</w:t>
            </w:r>
          </w:p>
        </w:tc>
      </w:tr>
      <w:tr w14:paraId="7054A9B5">
        <w:tc>
          <w:tcPr>
            <w:tcW w:w="380" w:type="dxa"/>
            <w:tcBorders>
              <w:top w:val="single" w:color="D1D5DB" w:sz="0" w:space="0"/>
              <w:left w:val="single" w:color="D1D5DB" w:sz="0" w:space="0"/>
              <w:bottom w:val="single" w:color="D1D5DB" w:sz="0" w:space="0"/>
              <w:right w:val="single" w:color="D1D5DB" w:sz="0" w:space="0"/>
            </w:tcBorders>
            <w:tcMar>
              <w:top w:w="70" w:type="dxa"/>
              <w:left w:w="90" w:type="dxa"/>
              <w:bottom w:w="70" w:type="dxa"/>
              <w:right w:w="90" w:type="dxa"/>
            </w:tcMar>
          </w:tcPr>
          <w:p w14:paraId="53F659E2">
            <w:pPr>
              <w:jc w:val="center"/>
              <w:rPr>
                <w:color w:val="auto"/>
              </w:rPr>
            </w:pPr>
            <w:r>
              <w:rPr>
                <w:rFonts w:ascii="Arial" w:hAnsi="Arial" w:eastAsia="Arial" w:cs="Arial"/>
                <w:b/>
                <w:bCs/>
                <w:color w:val="auto"/>
                <w:sz w:val="19"/>
                <w:szCs w:val="19"/>
              </w:rPr>
              <w:t>5</w:t>
            </w:r>
          </w:p>
        </w:tc>
        <w:tc>
          <w:tcPr>
            <w:tcW w:w="4500" w:type="dxa"/>
            <w:tcBorders>
              <w:top w:val="single" w:color="D1D5DB" w:sz="0" w:space="0"/>
              <w:left w:val="single" w:color="D1D5DB" w:sz="0" w:space="0"/>
              <w:bottom w:val="single" w:color="D1D5DB" w:sz="0" w:space="0"/>
              <w:right w:val="single" w:color="D1D5DB" w:sz="0" w:space="0"/>
            </w:tcBorders>
            <w:tcMar>
              <w:top w:w="70" w:type="dxa"/>
              <w:left w:w="110" w:type="dxa"/>
              <w:bottom w:w="70" w:type="dxa"/>
              <w:right w:w="110" w:type="dxa"/>
            </w:tcMar>
          </w:tcPr>
          <w:p w14:paraId="1BA89DF2">
            <w:pPr>
              <w:spacing w:before="0" w:after="0"/>
              <w:jc w:val="left"/>
              <w:rPr>
                <w:color w:val="auto"/>
              </w:rPr>
            </w:pPr>
            <w:r>
              <w:rPr>
                <w:rFonts w:ascii="Arial" w:hAnsi="Arial" w:eastAsia="Arial" w:cs="Arial"/>
                <w:b w:val="0"/>
                <w:bCs w:val="0"/>
                <w:i w:val="0"/>
                <w:iCs w:val="0"/>
                <w:color w:val="auto"/>
                <w:sz w:val="19"/>
                <w:szCs w:val="19"/>
              </w:rPr>
              <w:t>Kinateder, ..., Sterner, Osuna (2025) A naturally occurring standalone TrpB</w:t>
            </w:r>
          </w:p>
        </w:tc>
        <w:tc>
          <w:tcPr>
            <w:tcW w:w="2200" w:type="dxa"/>
            <w:tcBorders>
              <w:top w:val="single" w:color="D1D5DB" w:sz="0" w:space="0"/>
              <w:left w:val="single" w:color="D1D5DB" w:sz="0" w:space="0"/>
              <w:bottom w:val="single" w:color="D1D5DB" w:sz="0" w:space="0"/>
              <w:right w:val="single" w:color="D1D5DB" w:sz="0" w:space="0"/>
            </w:tcBorders>
            <w:tcMar>
              <w:top w:w="70" w:type="dxa"/>
              <w:left w:w="110" w:type="dxa"/>
              <w:bottom w:w="70" w:type="dxa"/>
              <w:right w:w="110" w:type="dxa"/>
            </w:tcMar>
          </w:tcPr>
          <w:p w14:paraId="1FA813D3">
            <w:pPr>
              <w:spacing w:before="0" w:after="0"/>
              <w:jc w:val="left"/>
              <w:rPr>
                <w:color w:val="auto"/>
              </w:rPr>
            </w:pPr>
            <w:r>
              <w:rPr>
                <w:rFonts w:ascii="Arial" w:hAnsi="Arial" w:eastAsia="Arial" w:cs="Arial"/>
                <w:b w:val="0"/>
                <w:bCs w:val="0"/>
                <w:i/>
                <w:iCs/>
                <w:color w:val="auto"/>
                <w:sz w:val="18"/>
                <w:szCs w:val="18"/>
              </w:rPr>
              <w:t>Protein Sci.</w:t>
            </w:r>
          </w:p>
        </w:tc>
        <w:tc>
          <w:tcPr>
            <w:tcW w:w="1480" w:type="dxa"/>
            <w:tcBorders>
              <w:top w:val="single" w:color="D1D5DB" w:sz="0" w:space="0"/>
              <w:left w:val="single" w:color="D1D5DB" w:sz="0" w:space="0"/>
              <w:bottom w:val="single" w:color="D1D5DB" w:sz="0" w:space="0"/>
              <w:right w:val="single" w:color="D1D5DB" w:sz="0" w:space="0"/>
            </w:tcBorders>
            <w:tcMar>
              <w:top w:w="70" w:type="dxa"/>
              <w:left w:w="110" w:type="dxa"/>
              <w:bottom w:w="70" w:type="dxa"/>
              <w:right w:w="110" w:type="dxa"/>
            </w:tcMar>
          </w:tcPr>
          <w:p w14:paraId="5C8B5580">
            <w:pPr>
              <w:spacing w:before="0" w:after="0"/>
              <w:jc w:val="left"/>
              <w:rPr>
                <w:color w:val="auto"/>
              </w:rPr>
            </w:pPr>
            <w:r>
              <w:rPr>
                <w:rFonts w:ascii="Arial" w:hAnsi="Arial" w:eastAsia="Arial" w:cs="Arial"/>
                <w:b w:val="0"/>
                <w:bCs w:val="0"/>
                <w:i w:val="0"/>
                <w:iCs w:val="0"/>
                <w:color w:val="auto"/>
                <w:sz w:val="17"/>
                <w:szCs w:val="17"/>
              </w:rPr>
              <w:t>10.1002/pro.70103</w:t>
            </w:r>
          </w:p>
        </w:tc>
        <w:tc>
          <w:tcPr>
            <w:tcW w:w="800" w:type="dxa"/>
            <w:tcBorders>
              <w:top w:val="single" w:color="D1D5DB" w:sz="0" w:space="0"/>
              <w:left w:val="single" w:color="D1D5DB" w:sz="0" w:space="0"/>
              <w:bottom w:val="single" w:color="D1D5DB" w:sz="0" w:space="0"/>
              <w:right w:val="single" w:color="D1D5DB" w:sz="0" w:space="0"/>
            </w:tcBorders>
            <w:shd w:val="clear" w:color="auto" w:fill="FFFFFF" w:themeFill="background1"/>
            <w:tcMar>
              <w:top w:w="70" w:type="dxa"/>
              <w:left w:w="90" w:type="dxa"/>
              <w:bottom w:w="70" w:type="dxa"/>
              <w:right w:w="90" w:type="dxa"/>
            </w:tcMar>
          </w:tcPr>
          <w:p w14:paraId="53BE3DEC">
            <w:pPr>
              <w:jc w:val="center"/>
              <w:rPr>
                <w:color w:val="auto"/>
              </w:rPr>
            </w:pPr>
            <w:r>
              <w:rPr>
                <w:rFonts w:ascii="Arial" w:hAnsi="Arial" w:eastAsia="Arial" w:cs="Arial"/>
                <w:b/>
                <w:bCs/>
                <w:color w:val="auto"/>
                <w:sz w:val="18"/>
                <w:szCs w:val="18"/>
              </w:rPr>
              <w:t>Queued</w:t>
            </w:r>
          </w:p>
        </w:tc>
      </w:tr>
    </w:tbl>
    <w:p w14:paraId="05359847">
      <w:pPr>
        <w:spacing w:before="0" w:after="140"/>
        <w:rPr>
          <w:color w:val="auto"/>
        </w:rPr>
      </w:pPr>
    </w:p>
    <w:p w14:paraId="2087D259">
      <w:pPr>
        <w:pBdr>
          <w:bottom w:val="single" w:color="2563EB" w:sz="8" w:space="5"/>
        </w:pBdr>
        <w:spacing w:before="300" w:after="100"/>
        <w:rPr>
          <w:color w:val="auto"/>
        </w:rPr>
      </w:pPr>
      <w:r>
        <w:rPr>
          <w:rFonts w:ascii="Arial" w:hAnsi="Arial" w:eastAsia="Arial" w:cs="Arial"/>
          <w:b/>
          <w:bCs/>
          <w:color w:val="auto"/>
          <w:sz w:val="30"/>
          <w:szCs w:val="30"/>
        </w:rPr>
        <w:t>2.  What I Learned from These Papers</w:t>
      </w:r>
    </w:p>
    <w:p w14:paraId="61729491">
      <w:pPr>
        <w:spacing w:before="0" w:after="30"/>
        <w:rPr>
          <w:color w:val="auto"/>
        </w:rPr>
      </w:pPr>
    </w:p>
    <w:p w14:paraId="33AC0974">
      <w:pPr>
        <w:spacing w:before="180" w:after="70"/>
        <w:rPr>
          <w:color w:val="auto"/>
        </w:rPr>
      </w:pPr>
      <w:r>
        <w:rPr>
          <w:rFonts w:ascii="Arial" w:hAnsi="Arial" w:eastAsia="Arial" w:cs="Arial"/>
          <w:b/>
          <w:bCs/>
          <w:color w:val="auto"/>
          <w:sz w:val="24"/>
          <w:szCs w:val="24"/>
        </w:rPr>
        <w:t>JACS 2019 (Osuna group)</w:t>
      </w:r>
    </w:p>
    <w:p w14:paraId="5E8B439D">
      <w:pPr>
        <w:spacing w:before="90" w:after="90"/>
        <w:jc w:val="left"/>
        <w:rPr>
          <w:color w:val="auto"/>
        </w:rPr>
      </w:pPr>
      <w:r>
        <w:rPr>
          <w:rFonts w:ascii="Arial" w:hAnsi="Arial" w:eastAsia="Arial" w:cs="Arial"/>
          <w:b w:val="0"/>
          <w:bCs w:val="0"/>
          <w:i w:val="0"/>
          <w:iCs w:val="0"/>
          <w:color w:val="auto"/>
          <w:sz w:val="22"/>
          <w:szCs w:val="22"/>
        </w:rPr>
        <w:t>This paper asks a straightforward question: how do the six distal mutations in PfTrpB-0B2 (a variant evolved for stand-alone activity) actually change enzyme behavior, given that they are far from the active site and the crystal structures of wild-type and 0B2 look nearly identical? Osuna's group used well-tempered metadynamics with path collective variables (s for progress along the Open-to-Closed transition, z for deviation from the reference path) to reconstruct the free energy landscape of the COMM domain conformational change. The key finding is that the mutations don't change the protein's shape; they change which conformations it can access. In the wild-type, the barrier between the partially closed and fully closed states is too high to cross without TrpA present. In 0B2, that barrier drops to around 2 kcal/mol, making the catalytically productive closed state accessible on its own. The paper also defines two quantitative criteria for a "productive" closed state: COMM domain RMSD &lt; 1.5 Angstrom from the closed X-ray reference structure, and the distance between K82 and the quinonoid intermediate at or below 3.6 Angstrom.</w:t>
      </w:r>
    </w:p>
    <w:p w14:paraId="5255CE0F">
      <w:pPr>
        <w:spacing w:before="0" w:after="80"/>
        <w:rPr>
          <w:color w:val="auto"/>
        </w:rPr>
      </w:pPr>
    </w:p>
    <w:p w14:paraId="69514887">
      <w:pPr>
        <w:spacing w:before="180" w:after="70"/>
        <w:rPr>
          <w:color w:val="auto"/>
        </w:rPr>
      </w:pPr>
      <w:r>
        <w:rPr>
          <w:rFonts w:ascii="Arial" w:hAnsi="Arial" w:eastAsia="Arial" w:cs="Arial"/>
          <w:b/>
          <w:bCs/>
          <w:color w:val="auto"/>
          <w:sz w:val="24"/>
          <w:szCs w:val="24"/>
        </w:rPr>
        <w:t>ACS Catalysis 2021 (Osuna group)</w:t>
      </w:r>
    </w:p>
    <w:p w14:paraId="53B19EAC">
      <w:pPr>
        <w:spacing w:before="90" w:after="90"/>
        <w:jc w:val="left"/>
        <w:rPr>
          <w:color w:val="auto"/>
        </w:rPr>
      </w:pPr>
      <w:r>
        <w:rPr>
          <w:rFonts w:ascii="Arial" w:hAnsi="Arial" w:eastAsia="Arial" w:cs="Arial"/>
          <w:b w:val="0"/>
          <w:bCs w:val="0"/>
          <w:i w:val="0"/>
          <w:iCs w:val="0"/>
          <w:color w:val="auto"/>
          <w:sz w:val="22"/>
          <w:szCs w:val="22"/>
        </w:rPr>
        <w:t>This follow-up paper introduces the Shortest Path Map (SPM) method, which analyzes the metadynamics trajectories to identify residues forming the main allosteric communication pathways. When applied to the TrpS complex trajectory, SPM correctly pinpoints 5 of the 6 positions that Arnold's directed evolution had targeted. The implication is that SPM could potentially predict where to mutate without needing rounds of directed evolution. The paper also uses ancestral sequence reconstruction to trace how the COMM domain's conformational landscape changed over evolutionary time. For me, the most practically useful part was gaining a clearer understanding of the path collective variable framework, especially the z-axis. Novel conformations that don't appear in any crystal structure show up along z, including a cation-pi intermediate involving R159 that the 2019 paper discovered. This matters because D-Trp-relevant conformations, if they exist, would also likely appear off the reference path.</w:t>
      </w:r>
    </w:p>
    <w:p w14:paraId="2EC1CD2F">
      <w:pPr>
        <w:spacing w:before="0" w:after="80"/>
        <w:rPr>
          <w:color w:val="auto"/>
        </w:rPr>
      </w:pPr>
    </w:p>
    <w:p w14:paraId="5D9AE0DF">
      <w:pPr>
        <w:spacing w:before="180" w:after="70"/>
        <w:rPr>
          <w:color w:val="auto"/>
        </w:rPr>
      </w:pPr>
      <w:r>
        <w:rPr>
          <w:rFonts w:ascii="Arial" w:hAnsi="Arial" w:eastAsia="Arial" w:cs="Arial"/>
          <w:b/>
          <w:bCs/>
          <w:color w:val="auto"/>
          <w:sz w:val="24"/>
          <w:szCs w:val="24"/>
        </w:rPr>
        <w:t>Nature Communications 2026 (our lab)</w:t>
      </w:r>
    </w:p>
    <w:p w14:paraId="2198EBC3">
      <w:pPr>
        <w:spacing w:before="90" w:after="90"/>
        <w:jc w:val="left"/>
        <w:rPr>
          <w:color w:val="auto"/>
        </w:rPr>
      </w:pPr>
      <w:r>
        <w:rPr>
          <w:rFonts w:ascii="Arial" w:hAnsi="Arial" w:eastAsia="Arial" w:cs="Arial"/>
          <w:b w:val="0"/>
          <w:bCs w:val="0"/>
          <w:i w:val="0"/>
          <w:iCs w:val="0"/>
          <w:color w:val="auto"/>
          <w:sz w:val="22"/>
          <w:szCs w:val="22"/>
        </w:rPr>
        <w:t>This paper describes the generative pipeline I need to connect my MetaDynamics work to. GenSLM, a codon-level protein language model, was fine-tuned on 30,000 trpB DNA sequences and generated 105 candidate sequences at various sequence identity levels relative to known TrpBs. Of those, 11 showed clear activity at room temperature, and GenSLM-230 stood out by being active on all seven non-canonical substrates tested and outperforming PfTrpB-0B2 in native tryptophan formation at both room temperature and 75 degrees.</w:t>
      </w:r>
    </w:p>
    <w:p w14:paraId="1C93A8BF">
      <w:pPr>
        <w:spacing w:before="0" w:after="40"/>
        <w:rPr>
          <w:color w:val="auto"/>
        </w:rPr>
      </w:pPr>
    </w:p>
    <w:p w14:paraId="4F150A95">
      <w:pPr>
        <w:spacing w:before="90" w:after="90"/>
        <w:jc w:val="left"/>
        <w:rPr>
          <w:color w:val="auto"/>
        </w:rPr>
      </w:pPr>
      <w:r>
        <w:rPr>
          <w:rFonts w:ascii="Arial" w:hAnsi="Arial" w:eastAsia="Arial" w:cs="Arial"/>
          <w:b w:val="0"/>
          <w:bCs w:val="0"/>
          <w:i w:val="0"/>
          <w:iCs w:val="0"/>
          <w:color w:val="auto"/>
          <w:sz w:val="22"/>
          <w:szCs w:val="22"/>
        </w:rPr>
        <w:t>The detail that struck me most is the comparison between GenSLM-230 and its closest natural homolog NdTrpB. Their predicted backbone structures are nearly identical (RMSD 0.36 Angstrom), yet their functional profiles are dramatically different. This is exactly the kind of puzzle that static structure prediction cannot solve. AlphaFold or ESMFold would look at these two sequences and say they should behave similarly, but they don't. The difference must lie in conformational dynamics: how each protein samples different states along the Open/Partially Closed/Closed landscape, how high the energy barriers are, and what the population distribution of productive states looks like. MetaDynamics is specifically designed to answer these questions.</w:t>
      </w:r>
    </w:p>
    <w:p w14:paraId="02A84906">
      <w:pPr>
        <w:spacing w:before="0" w:after="40"/>
        <w:rPr>
          <w:color w:val="auto"/>
        </w:rPr>
      </w:pPr>
    </w:p>
    <w:p w14:paraId="65B8AA58">
      <w:pPr>
        <w:spacing w:before="90" w:after="90"/>
        <w:jc w:val="left"/>
        <w:rPr>
          <w:color w:val="auto"/>
        </w:rPr>
      </w:pPr>
      <w:r>
        <w:rPr>
          <w:rFonts w:ascii="Arial" w:hAnsi="Arial" w:eastAsia="Arial" w:cs="Arial"/>
          <w:b w:val="0"/>
          <w:bCs w:val="0"/>
          <w:i w:val="0"/>
          <w:iCs w:val="0"/>
          <w:color w:val="auto"/>
          <w:sz w:val="22"/>
          <w:szCs w:val="22"/>
        </w:rPr>
        <w:t>The paper also explicitly notes that physics-informed filters (docking, thermostability prediction) were explored during development but not used in the final pipeline, to avoid biasing the library. This is a deliberate gap. My project is essentially asking: what if we add a physics-informed filter back in, but one that targets a specific functional property (D-Trp conformational selectivity) that the language model has no training signal for?</w:t>
      </w:r>
    </w:p>
    <w:p w14:paraId="55FED3BD">
      <w:pPr>
        <w:spacing w:before="0" w:after="140"/>
        <w:rPr>
          <w:color w:val="auto"/>
        </w:rPr>
      </w:pPr>
    </w:p>
    <w:p w14:paraId="57873DBE">
      <w:pPr>
        <w:pBdr>
          <w:bottom w:val="single" w:color="2563EB" w:sz="8" w:space="5"/>
        </w:pBdr>
        <w:spacing w:before="300" w:after="100"/>
        <w:rPr>
          <w:color w:val="auto"/>
        </w:rPr>
      </w:pPr>
      <w:r>
        <w:rPr>
          <w:rFonts w:ascii="Arial" w:hAnsi="Arial" w:eastAsia="Arial" w:cs="Arial"/>
          <w:b/>
          <w:bCs/>
          <w:color w:val="auto"/>
          <w:sz w:val="30"/>
          <w:szCs w:val="30"/>
        </w:rPr>
        <w:t>3.  Points I Am Still Uncertain About</w:t>
      </w:r>
    </w:p>
    <w:p w14:paraId="36A4F00D">
      <w:pPr>
        <w:spacing w:before="0" w:after="30"/>
        <w:rPr>
          <w:color w:val="auto"/>
        </w:rPr>
      </w:pPr>
    </w:p>
    <w:p w14:paraId="7787E381">
      <w:pPr>
        <w:spacing w:before="90" w:after="90"/>
        <w:jc w:val="left"/>
        <w:rPr>
          <w:color w:val="auto"/>
        </w:rPr>
      </w:pPr>
      <w:r>
        <w:rPr>
          <w:rFonts w:ascii="Arial" w:hAnsi="Arial" w:eastAsia="Arial" w:cs="Arial"/>
          <w:b w:val="0"/>
          <w:bCs w:val="0"/>
          <w:i w:val="0"/>
          <w:iCs w:val="0"/>
          <w:color w:val="auto"/>
          <w:sz w:val="22"/>
          <w:szCs w:val="22"/>
        </w:rPr>
        <w:t>The biggest gap in my current understanding is how to define D-tryptophan selectivity as a conformational property. The Osuna papers give clear metrics for L-Trp activity (K82 distance and COMM domain RMSD), but D-Trp synthesis requires indole to approach the aminoacrylate intermediate from the si-face rather than the natural re-face. I do not yet know what geometric quantity to measure in a metadynamics trajectory to capture this preference. My current thinking is that it involves the dihedral angle or approach vector between indole C3 and the aminoacrylate C-beta, but I have not found a published precedent for defining this specifically in TrpB.</w:t>
      </w:r>
    </w:p>
    <w:p w14:paraId="73C08108">
      <w:pPr>
        <w:spacing w:before="0" w:after="60"/>
        <w:rPr>
          <w:color w:val="auto"/>
        </w:rPr>
      </w:pPr>
    </w:p>
    <w:p w14:paraId="66156C5A">
      <w:pPr>
        <w:spacing w:before="90" w:after="90"/>
        <w:jc w:val="left"/>
        <w:rPr>
          <w:color w:val="auto"/>
        </w:rPr>
      </w:pPr>
      <w:r>
        <w:rPr>
          <w:rFonts w:ascii="Arial" w:hAnsi="Arial" w:eastAsia="Arial" w:cs="Arial"/>
          <w:b w:val="0"/>
          <w:bCs w:val="0"/>
          <w:i w:val="0"/>
          <w:iCs w:val="0"/>
          <w:color w:val="auto"/>
          <w:sz w:val="22"/>
          <w:szCs w:val="22"/>
        </w:rPr>
        <w:t>I am also still thinking about whether to first reproduce a published metadynamics result (e.g. the PfTrpB wild-type FEL from the 2019 paper) as a validation step before moving to new sequences. This would take extra time but would confirm that my simulation setup is correct.</w:t>
      </w:r>
    </w:p>
    <w:p w14:paraId="30D43480">
      <w:pPr>
        <w:spacing w:before="0" w:after="140"/>
        <w:rPr>
          <w:color w:val="auto"/>
        </w:rPr>
      </w:pPr>
    </w:p>
    <w:p w14:paraId="4B833F00">
      <w:pPr>
        <w:pBdr>
          <w:bottom w:val="single" w:color="2563EB" w:sz="8" w:space="5"/>
        </w:pBdr>
        <w:spacing w:before="300" w:after="100"/>
        <w:rPr>
          <w:color w:val="auto"/>
        </w:rPr>
      </w:pPr>
      <w:r>
        <w:rPr>
          <w:rFonts w:ascii="Arial" w:hAnsi="Arial" w:eastAsia="Arial" w:cs="Arial"/>
          <w:b/>
          <w:bCs/>
          <w:color w:val="auto"/>
          <w:sz w:val="30"/>
          <w:szCs w:val="30"/>
        </w:rPr>
        <w:t>4.  Potential Research Directions</w:t>
      </w:r>
      <w:bookmarkStart w:id="0" w:name="_GoBack"/>
      <w:bookmarkEnd w:id="0"/>
    </w:p>
    <w:p w14:paraId="1CEBC507">
      <w:pPr>
        <w:spacing w:before="0" w:after="30"/>
        <w:rPr>
          <w:color w:val="auto"/>
        </w:rPr>
      </w:pPr>
    </w:p>
    <w:p w14:paraId="40610E27">
      <w:pPr>
        <w:spacing w:before="90" w:after="90"/>
        <w:jc w:val="left"/>
        <w:rPr>
          <w:color w:val="auto"/>
        </w:rPr>
      </w:pPr>
      <w:r>
        <w:rPr>
          <w:rFonts w:ascii="Arial" w:hAnsi="Arial" w:eastAsia="Arial" w:cs="Arial"/>
          <w:b w:val="0"/>
          <w:bCs w:val="0"/>
          <w:i w:val="0"/>
          <w:iCs w:val="0"/>
          <w:color w:val="auto"/>
          <w:sz w:val="22"/>
          <w:szCs w:val="22"/>
        </w:rPr>
        <w:t>After reading these three papers, I see a few possible directions for how MetaDynamics could contribute to the generative pipeline. I want to think through these carefully before committing to one, and would appreciate feedback on which seems most promising.</w:t>
      </w:r>
    </w:p>
    <w:p w14:paraId="07C5158B">
      <w:pPr>
        <w:spacing w:before="0" w:after="60"/>
        <w:rPr>
          <w:color w:val="auto"/>
        </w:rPr>
      </w:pPr>
    </w:p>
    <w:p w14:paraId="2F7F9409">
      <w:pPr>
        <w:spacing w:before="180" w:after="70"/>
        <w:rPr>
          <w:color w:val="auto"/>
        </w:rPr>
      </w:pPr>
      <w:r>
        <w:rPr>
          <w:rFonts w:ascii="Arial" w:hAnsi="Arial" w:eastAsia="Arial" w:cs="Arial"/>
          <w:b/>
          <w:bCs/>
          <w:color w:val="auto"/>
          <w:sz w:val="24"/>
          <w:szCs w:val="24"/>
        </w:rPr>
        <w:t>Direction A: Explain the 230 vs NdTrpB functional divergence</w:t>
      </w:r>
    </w:p>
    <w:p w14:paraId="1846DEC7">
      <w:pPr>
        <w:spacing w:before="90" w:after="90"/>
        <w:jc w:val="left"/>
        <w:rPr>
          <w:color w:val="auto"/>
        </w:rPr>
      </w:pPr>
      <w:r>
        <w:rPr>
          <w:rFonts w:ascii="Arial" w:hAnsi="Arial" w:eastAsia="Arial" w:cs="Arial"/>
          <w:b w:val="0"/>
          <w:bCs w:val="0"/>
          <w:i w:val="0"/>
          <w:iCs w:val="0"/>
          <w:color w:val="auto"/>
          <w:sz w:val="22"/>
          <w:szCs w:val="22"/>
        </w:rPr>
        <w:t>The most immediately testable question is why GenSLM-230 and NdTrpB have nearly identical structures but dramatically different activity. Running MetaDynamics on both sequences and comparing their COMM domain free energy landscapes could directly answer this. If 230 has a lower O-to-C barrier or a higher population of productive closed states, that would explain its superior activity in a way that static structure cannot. This would also serve as a proof of concept that MetaDynamics captures functionally relevant differences between sequences that look structurally identical, which is the foundation for any downstream filtering application.</w:t>
      </w:r>
    </w:p>
    <w:p w14:paraId="31A3CF81">
      <w:pPr>
        <w:spacing w:before="0" w:after="60"/>
        <w:rPr>
          <w:color w:val="auto"/>
        </w:rPr>
      </w:pPr>
    </w:p>
    <w:p w14:paraId="50998885">
      <w:pPr>
        <w:spacing w:before="180" w:after="70"/>
        <w:rPr>
          <w:color w:val="auto"/>
        </w:rPr>
      </w:pPr>
      <w:r>
        <w:rPr>
          <w:rFonts w:ascii="Arial" w:hAnsi="Arial" w:eastAsia="Arial" w:cs="Arial"/>
          <w:b/>
          <w:bCs/>
          <w:color w:val="auto"/>
          <w:sz w:val="24"/>
          <w:szCs w:val="24"/>
        </w:rPr>
        <w:t>Direction B: MetaDynamics as a conformational filter for D-Trp</w:t>
      </w:r>
    </w:p>
    <w:p w14:paraId="69D553C6">
      <w:pPr>
        <w:spacing w:before="90" w:after="90"/>
        <w:jc w:val="left"/>
        <w:rPr>
          <w:color w:val="auto"/>
        </w:rPr>
      </w:pPr>
      <w:r>
        <w:rPr>
          <w:rFonts w:ascii="Arial" w:hAnsi="Arial" w:eastAsia="Arial" w:cs="Arial"/>
          <w:b w:val="0"/>
          <w:bCs w:val="0"/>
          <w:i w:val="0"/>
          <w:iCs w:val="0"/>
          <w:color w:val="auto"/>
          <w:sz w:val="22"/>
          <w:szCs w:val="22"/>
        </w:rPr>
        <w:t>The longer-term goal is to use MetaDynamics to evaluate whether a generated sequence has the right conformational landscape for D-tryptophan synthesis. This requires solving two sub-problems: first, defining a geometric criterion for si-face indole approach that can be measured in a simulation trajectory; second, establishing what a "D-Trp-favorable" free energy landscape looks like (perhaps a closed-state geometry where the si-face approach is energetically accessible rather than blocked). No one has done this before for TrpB as far as I can tell, so it would be genuinely novel, but also higher risk because there is no benchmark to validate against.</w:t>
      </w:r>
    </w:p>
    <w:p w14:paraId="7692A539">
      <w:pPr>
        <w:spacing w:before="0" w:after="60"/>
        <w:rPr>
          <w:color w:val="auto"/>
        </w:rPr>
      </w:pPr>
    </w:p>
    <w:p w14:paraId="00DB58FB">
      <w:pPr>
        <w:spacing w:before="180" w:after="70"/>
        <w:rPr>
          <w:color w:val="auto"/>
        </w:rPr>
      </w:pPr>
      <w:r>
        <w:rPr>
          <w:rFonts w:ascii="Arial" w:hAnsi="Arial" w:eastAsia="Arial" w:cs="Arial"/>
          <w:b/>
          <w:bCs/>
          <w:color w:val="auto"/>
          <w:sz w:val="24"/>
          <w:szCs w:val="24"/>
        </w:rPr>
        <w:t>Direction C: Build a fast surrogate from MetaDynamics data</w:t>
      </w:r>
    </w:p>
    <w:p w14:paraId="16AF1068">
      <w:pPr>
        <w:spacing w:before="90" w:after="90"/>
        <w:jc w:val="left"/>
        <w:rPr>
          <w:color w:val="auto"/>
        </w:rPr>
      </w:pPr>
      <w:r>
        <w:rPr>
          <w:rFonts w:ascii="Arial" w:hAnsi="Arial" w:eastAsia="Arial" w:cs="Arial"/>
          <w:b w:val="0"/>
          <w:bCs w:val="0"/>
          <w:i w:val="0"/>
          <w:iCs w:val="0"/>
          <w:color w:val="auto"/>
          <w:sz w:val="22"/>
          <w:szCs w:val="22"/>
        </w:rPr>
        <w:t>MetaDynamics is computationally expensive (days per sequence), so it cannot be run on every candidate the language model generates. One longer-term possibility is to run MetaDynamics on a diverse subset of generated sequences, extract FEL-derived features (barrier height, productive state population, key distances), and train a lightweight surrogate model that predicts these conformational properties directly from sequence. This would effectively translate the physics-based insight into a fast scoring function that could be integrated into future rounds of generative design. This direction only makes sense after Directions A and B produce enough data, so it is not an immediate priority.</w:t>
      </w:r>
    </w:p>
    <w:p w14:paraId="6C03EE18">
      <w:pPr>
        <w:spacing w:before="0" w:after="140"/>
        <w:rPr>
          <w:color w:val="auto"/>
        </w:rPr>
      </w:pPr>
    </w:p>
    <w:p w14:paraId="211B03E2">
      <w:pPr>
        <w:pBdr>
          <w:bottom w:val="single" w:color="2563EB" w:sz="8" w:space="5"/>
        </w:pBdr>
        <w:spacing w:before="300" w:after="100"/>
        <w:rPr>
          <w:color w:val="auto"/>
        </w:rPr>
      </w:pPr>
      <w:r>
        <w:rPr>
          <w:rFonts w:ascii="Arial" w:hAnsi="Arial" w:eastAsia="Arial" w:cs="Arial"/>
          <w:b/>
          <w:bCs/>
          <w:color w:val="auto"/>
          <w:sz w:val="30"/>
          <w:szCs w:val="30"/>
        </w:rPr>
        <w:t>5.  Plan for Next Week</w:t>
      </w:r>
    </w:p>
    <w:p w14:paraId="467B8873">
      <w:pPr>
        <w:spacing w:before="0" w:after="30"/>
        <w:rPr>
          <w:color w:val="auto"/>
        </w:rPr>
      </w:pPr>
    </w:p>
    <w:p w14:paraId="08B7B5F0">
      <w:pPr>
        <w:spacing w:before="90" w:after="90"/>
        <w:jc w:val="left"/>
        <w:rPr>
          <w:color w:val="auto"/>
        </w:rPr>
      </w:pPr>
      <w:r>
        <w:rPr>
          <w:rFonts w:ascii="Arial" w:hAnsi="Arial" w:eastAsia="Arial" w:cs="Arial"/>
          <w:b w:val="0"/>
          <w:bCs w:val="0"/>
          <w:i w:val="0"/>
          <w:iCs w:val="0"/>
          <w:color w:val="auto"/>
          <w:sz w:val="22"/>
          <w:szCs w:val="22"/>
        </w:rPr>
        <w:t>My plan for next week has three parts. First, I want to finish reading the remaining two papers in my queue: Osuna's 2020 WIREs review on predicting distal mutations in enzyme design, and the 2025 Protein Science paper on a naturally occurring standalone TrpB. Both should deepen my understanding of the allosteric communication framework and may reveal additional criteria for evaluating generated sequences.</w:t>
      </w:r>
    </w:p>
    <w:p w14:paraId="0BD3548A">
      <w:pPr>
        <w:spacing w:before="0" w:after="40"/>
        <w:rPr>
          <w:color w:val="auto"/>
        </w:rPr>
      </w:pPr>
    </w:p>
    <w:p w14:paraId="2771FCBB">
      <w:pPr>
        <w:spacing w:before="90" w:after="90"/>
        <w:jc w:val="left"/>
        <w:rPr>
          <w:color w:val="auto"/>
        </w:rPr>
      </w:pPr>
      <w:r>
        <w:rPr>
          <w:rFonts w:ascii="Arial" w:hAnsi="Arial" w:eastAsia="Arial" w:cs="Arial"/>
          <w:b w:val="0"/>
          <w:bCs w:val="0"/>
          <w:i w:val="0"/>
          <w:iCs w:val="0"/>
          <w:color w:val="auto"/>
          <w:sz w:val="22"/>
          <w:szCs w:val="22"/>
        </w:rPr>
        <w:t>Second, I will start setting up the computational environment (AMBER + PLUMED) so that I am ready to run simulations once we agree on a direction. I want to at least get through a short test run on a known system to make sure everything is installed correctly.</w:t>
      </w:r>
    </w:p>
    <w:p w14:paraId="52C84E71">
      <w:pPr>
        <w:spacing w:before="0" w:after="40"/>
        <w:rPr>
          <w:color w:val="auto"/>
        </w:rPr>
      </w:pPr>
    </w:p>
    <w:p w14:paraId="43E81686">
      <w:pPr>
        <w:spacing w:before="90" w:after="90"/>
        <w:jc w:val="left"/>
        <w:rPr>
          <w:color w:val="auto"/>
        </w:rPr>
      </w:pPr>
      <w:r>
        <w:rPr>
          <w:rFonts w:ascii="Arial" w:hAnsi="Arial" w:eastAsia="Arial" w:cs="Arial"/>
          <w:b w:val="0"/>
          <w:bCs w:val="0"/>
          <w:i w:val="0"/>
          <w:iCs w:val="0"/>
          <w:color w:val="auto"/>
          <w:sz w:val="22"/>
          <w:szCs w:val="22"/>
        </w:rPr>
        <w:t>Third, I would like to spend some time thinking more carefully about the si-face geometric criterion for D-Trp. Even before running any full MetaDynamics, I can look at the crystal structure of PfTrpB in the closed state and try to define, at least conceptually, what a collective variable for indole approach angle would look like. I think having a concrete proposal for this before our next meeting would make the discussion more productive.</w:t>
      </w:r>
    </w:p>
    <w:p w14:paraId="713A9648">
      <w:pPr>
        <w:spacing w:before="0" w:after="180"/>
        <w:rPr>
          <w:color w:val="auto"/>
        </w:rPr>
      </w:pPr>
    </w:p>
    <w:p w14:paraId="1DF574FE">
      <w:pPr>
        <w:pBdr>
          <w:top w:val="single" w:color="E5E7EB" w:sz="4" w:space="5"/>
        </w:pBdr>
        <w:spacing w:before="0" w:after="60"/>
        <w:rPr>
          <w:color w:val="auto"/>
        </w:rPr>
      </w:pPr>
      <w:r>
        <w:rPr>
          <w:rFonts w:ascii="Arial" w:hAnsi="Arial" w:eastAsia="Arial" w:cs="Arial"/>
          <w:i/>
          <w:iCs/>
          <w:color w:val="auto"/>
          <w:sz w:val="21"/>
          <w:szCs w:val="21"/>
        </w:rPr>
        <w:t>I would really appreciate your thoughts on which research direction to prioritize. Happy to discuss any of this in our next meeting.</w:t>
      </w:r>
    </w:p>
    <w:p w14:paraId="3FAF808F">
      <w:pPr>
        <w:spacing w:before="0" w:after="60"/>
        <w:rPr>
          <w:color w:val="auto"/>
        </w:rPr>
      </w:pPr>
    </w:p>
    <w:p w14:paraId="3F57F05E">
      <w:pPr>
        <w:spacing w:before="0" w:after="20"/>
        <w:jc w:val="left"/>
        <w:rPr>
          <w:color w:val="auto"/>
        </w:rPr>
      </w:pPr>
      <w:r>
        <w:rPr>
          <w:rFonts w:ascii="Arial" w:hAnsi="Arial" w:eastAsia="Arial" w:cs="Arial"/>
          <w:b/>
          <w:bCs/>
          <w:i w:val="0"/>
          <w:iCs w:val="0"/>
          <w:color w:val="auto"/>
          <w:sz w:val="22"/>
          <w:szCs w:val="22"/>
        </w:rPr>
        <w:t>Zhenpeng Liu</w:t>
      </w:r>
    </w:p>
    <w:p w14:paraId="143264AE">
      <w:pPr>
        <w:spacing w:before="0" w:after="0"/>
        <w:jc w:val="left"/>
        <w:rPr>
          <w:color w:val="auto"/>
        </w:rPr>
      </w:pPr>
      <w:r>
        <w:rPr>
          <w:rFonts w:ascii="Arial" w:hAnsi="Arial" w:eastAsia="Arial" w:cs="Arial"/>
          <w:b w:val="0"/>
          <w:bCs w:val="0"/>
          <w:i w:val="0"/>
          <w:iCs w:val="0"/>
          <w:color w:val="auto"/>
          <w:sz w:val="20"/>
          <w:szCs w:val="20"/>
        </w:rPr>
        <w:t>liualex@ad.unc.edu</w:t>
      </w:r>
    </w:p>
    <w:sectPr>
      <w:pgSz w:w="12240" w:h="15840"/>
      <w:pgMar w:top="1260" w:right="1260" w:bottom="126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汉仪书宋二KW"/>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ompat>
    <w:compatSetting w:name="compatibilityMode" w:uri="http://schemas.microsoft.com/office/word" w:val="15"/>
  </w:compat>
  <w:rsids>
    <w:rsidRoot w:val="00000000"/>
    <w:rsid w:val="B4FF7E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2D2D2D"/>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color w:val="2D2D2D"/>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color w:val="2D2D2D"/>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color w:val="2D2D2D"/>
      <w:sz w:val="56"/>
      <w:szCs w:val="56"/>
    </w:rPr>
  </w:style>
  <w:style w:type="paragraph" w:styleId="16">
    <w:name w:val="List Paragraph"/>
    <w:qFormat/>
    <w:uiPriority w:val="0"/>
    <w:rPr>
      <w:rFonts w:ascii="Arial" w:hAnsi="Arial" w:eastAsia="Arial" w:cs="Arial"/>
      <w:color w:val="2D2D2D"/>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20</TotalTime>
  <ScaleCrop>false</ScaleCrop>
  <LinksUpToDate>false</LinksUpToDate>
  <Application>WPS Office_12.1.22553.22553_F1E327BC-269C-435d-A152-05C5408002CA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刘振鹏</cp:lastModifiedBy>
  <dcterms:modified xsi:type="dcterms:W3CDTF">2026-03-21T21:54:24Z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1033-12.1.22553.22553</vt:lpwstr>
  </property>
  <property fmtid="{D5CDD505-2E9C-101B-9397-08002B2CF9AE}" pid="3" name="ICV">
    <vt:lpwstr>4C2C756C3513287BD04BBF695C3D382D_42</vt:lpwstr>
  </property>
</Properties>
</file>