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2744"/>
          <w:sz w:val="32"/>
          <w:szCs w:val="32"/>
        </w:rPr>
        <w:t xml:space="preserve">WEEKLY RESEARCH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To:</w:t>
            </w:r>
          </w:p>
        </w:tc>
        <w:tc>
          <w:tcPr>
            <w:tcW w:type="dxa" w:w="7160"/>
            <w:tcBorders>
              <w:top w:val="none"/>
              <w:left w:val="none"/>
              <w:bottom w:val="none"/>
              <w:right w:val="none"/>
            </w:tcBorders>
            <w:tcMar>
              <w:top w:type="dxa" w:w="80"/>
              <w:left w:type="dxa" w:w="120"/>
              <w:bottom w:type="dxa" w:w="80"/>
              <w:right w:type="dxa" w:w="120"/>
            </w:tcMar>
          </w:tcPr>
          <w:p>
            <w:r>
              <w:rPr>
                <w:rFonts w:ascii="Arial" w:cs="Arial" w:eastAsia="Arial" w:hAnsi="Arial"/>
                <w:color w:val="374151"/>
                <w:sz w:val="21"/>
                <w:szCs w:val="21"/>
              </w:rPr>
              <w:t xml:space="preserve">Professor [Advisor Name]</w:t>
            </w:r>
          </w:p>
        </w:tc>
      </w:tr>
      <w:tr>
        <w:tc>
          <w:tcPr>
            <w:tcW w:type="dxa" w:w="2200"/>
            <w:tcBorders>
              <w:top w:val="none"/>
              <w:left w:val="none"/>
              <w:bottom w:val="none"/>
              <w:right w:val="none"/>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From:</w:t>
            </w:r>
          </w:p>
        </w:tc>
        <w:tc>
          <w:tcPr>
            <w:tcW w:type="dxa" w:w="7160"/>
            <w:tcBorders>
              <w:top w:val="none"/>
              <w:left w:val="none"/>
              <w:bottom w:val="none"/>
              <w:right w:val="none"/>
            </w:tcBorders>
            <w:tcMar>
              <w:top w:type="dxa" w:w="80"/>
              <w:left w:type="dxa" w:w="120"/>
              <w:bottom w:type="dxa" w:w="80"/>
              <w:right w:type="dxa" w:w="120"/>
            </w:tcMar>
          </w:tcPr>
          <w:p>
            <w:r>
              <w:rPr>
                <w:rFonts w:ascii="Arial" w:cs="Arial" w:eastAsia="Arial" w:hAnsi="Arial"/>
                <w:color w:val="374151"/>
                <w:sz w:val="21"/>
                <w:szCs w:val="21"/>
              </w:rPr>
              <w:t xml:space="preserve">Zhenpeng Liu</w:t>
            </w:r>
          </w:p>
        </w:tc>
      </w:tr>
      <w:tr>
        <w:tc>
          <w:tcPr>
            <w:tcW w:type="dxa" w:w="2200"/>
            <w:tcBorders>
              <w:top w:val="none"/>
              <w:left w:val="none"/>
              <w:bottom w:val="none"/>
              <w:right w:val="none"/>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Date:</w:t>
            </w:r>
          </w:p>
        </w:tc>
        <w:tc>
          <w:tcPr>
            <w:tcW w:type="dxa" w:w="7160"/>
            <w:tcBorders>
              <w:top w:val="none"/>
              <w:left w:val="none"/>
              <w:bottom w:val="none"/>
              <w:right w:val="none"/>
            </w:tcBorders>
            <w:tcMar>
              <w:top w:type="dxa" w:w="80"/>
              <w:left w:type="dxa" w:w="120"/>
              <w:bottom w:type="dxa" w:w="80"/>
              <w:right w:type="dxa" w:w="120"/>
            </w:tcMar>
          </w:tcPr>
          <w:p>
            <w:r>
              <w:rPr>
                <w:rFonts w:ascii="Arial" w:cs="Arial" w:eastAsia="Arial" w:hAnsi="Arial"/>
                <w:color w:val="374151"/>
                <w:sz w:val="21"/>
                <w:szCs w:val="21"/>
              </w:rPr>
              <w:t xml:space="preserve">March 22, 2026 (Week 1)</w:t>
            </w:r>
          </w:p>
        </w:tc>
      </w:tr>
      <w:tr>
        <w:tc>
          <w:tcPr>
            <w:tcW w:type="dxa" w:w="2200"/>
            <w:tcBorders>
              <w:top w:val="none"/>
              <w:left w:val="none"/>
              <w:bottom w:val="none"/>
              <w:right w:val="none"/>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Subject:</w:t>
            </w:r>
          </w:p>
        </w:tc>
        <w:tc>
          <w:tcPr>
            <w:tcW w:type="dxa" w:w="7160"/>
            <w:tcBorders>
              <w:top w:val="none"/>
              <w:left w:val="none"/>
              <w:bottom w:val="none"/>
              <w:right w:val="none"/>
            </w:tcBorders>
            <w:tcMar>
              <w:top w:type="dxa" w:w="80"/>
              <w:left w:type="dxa" w:w="120"/>
              <w:bottom w:type="dxa" w:w="80"/>
              <w:right w:type="dxa" w:w="120"/>
            </w:tcMar>
          </w:tcPr>
          <w:p>
            <w:r>
              <w:rPr>
                <w:rFonts w:ascii="Arial" w:cs="Arial" w:eastAsia="Arial" w:hAnsi="Arial"/>
                <w:color w:val="374151"/>
                <w:sz w:val="21"/>
                <w:szCs w:val="21"/>
              </w:rPr>
              <w:t xml:space="preserve">Literature Review — TrpB MetaDynamics Methodology | Reading Plan &amp; Next Steps</w:t>
            </w:r>
          </w:p>
        </w:tc>
      </w:tr>
    </w:tbl>
    <w:p>
      <w:pPr>
        <w:spacing w:after="0" w:before="20"/>
      </w:pPr>
    </w:p>
    <w:p>
      <w:pPr>
        <w:pBdr>
          <w:bottom w:val="single" w:color="2563EB" w:sz="6" w:space="4"/>
        </w:pBdr>
        <w:spacing w:after="100" w:before="280"/>
      </w:pPr>
      <w:r>
        <w:rPr>
          <w:rFonts w:ascii="Arial" w:cs="Arial" w:eastAsia="Arial" w:hAnsi="Arial"/>
          <w:b/>
          <w:bCs/>
          <w:color w:val="1a2744"/>
          <w:sz w:val="28"/>
          <w:szCs w:val="2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FF6FF" w:val="clear"/>
            <w:tcMar>
              <w:top w:type="dxa" w:w="100"/>
              <w:left w:type="dxa" w:w="180"/>
              <w:bottom w:type="dxa" w:w="100"/>
              <w:right w:type="dxa" w:w="180"/>
            </w:tcMar>
          </w:tcPr>
          <w:p>
            <w:pPr>
              <w:spacing w:after="80" w:before="80"/>
            </w:pPr>
            <w:r>
              <w:rPr>
                <w:rFonts w:ascii="Arial" w:cs="Arial" w:eastAsia="Arial" w:hAnsi="Arial"/>
                <w:color w:val="374151"/>
                <w:sz w:val="22"/>
                <w:szCs w:val="22"/>
              </w:rPr>
              <w:t xml:space="preserve">This week I completed a systematic survey of the Osuna lab's publication record (~80 papers) to identify the most relevant methodology papers for the MetaDynamics component of our project. I performed deep reading of the two core TrpB MetaDynamics papers (JACS 2019 and ACS Catalysis 2021) and have developed a concrete understanding of the well-tempered MetaDynamics + path collective variable workflow used by the Osuna group. I have not yet set up the computational environment or run any simulations. My key open question—which I would appreciate your guidance on—is how to define a collective variable that captures the </w:t>
            </w:r>
            <w:r>
              <w:rPr>
                <w:rFonts w:ascii="Arial" w:cs="Arial" w:eastAsia="Arial" w:hAnsi="Arial"/>
                <w:b/>
                <w:bCs/>
                <w:color w:val="374151"/>
                <w:sz w:val="22"/>
                <w:szCs w:val="22"/>
              </w:rPr>
              <w:t xml:space="preserve">stereochemical preference (si-face vs. re-face)</w:t>
            </w:r>
            <w:r>
              <w:rPr>
                <w:rFonts w:ascii="Arial" w:cs="Arial" w:eastAsia="Arial" w:hAnsi="Arial"/>
                <w:color w:val="374151"/>
                <w:sz w:val="22"/>
                <w:szCs w:val="22"/>
              </w:rPr>
              <w:t xml:space="preserve"> for D-Trp synthesis, which is not addressed in any published Osuna TrpB study.</w:t>
            </w:r>
          </w:p>
        </w:tc>
      </w:tr>
    </w:tbl>
    <w:p>
      <w:pPr>
        <w:spacing w:after="0" w:before="16"/>
      </w:pPr>
    </w:p>
    <w:p>
      <w:pPr>
        <w:pBdr>
          <w:bottom w:val="single" w:color="2563EB" w:sz="6" w:space="4"/>
        </w:pBdr>
        <w:spacing w:after="100" w:before="280"/>
      </w:pPr>
      <w:r>
        <w:rPr>
          <w:rFonts w:ascii="Arial" w:cs="Arial" w:eastAsia="Arial" w:hAnsi="Arial"/>
          <w:b/>
          <w:bCs/>
          <w:color w:val="1a2744"/>
          <w:sz w:val="28"/>
          <w:szCs w:val="28"/>
        </w:rPr>
        <w:t xml:space="preserve">1. Literature Screened and Read</w:t>
      </w:r>
    </w:p>
    <w:p>
      <w:pPr>
        <w:spacing w:after="80" w:before="200"/>
      </w:pPr>
      <w:r>
        <w:rPr>
          <w:rFonts w:ascii="Arial" w:cs="Arial" w:eastAsia="Arial" w:hAnsi="Arial"/>
          <w:b/>
          <w:bCs/>
          <w:color w:val="2563EB"/>
          <w:sz w:val="24"/>
          <w:szCs w:val="24"/>
        </w:rPr>
        <w:t xml:space="preserve">1a. Screening</w:t>
      </w:r>
    </w:p>
    <w:p>
      <w:pPr>
        <w:spacing w:after="80" w:before="80"/>
        <w:jc w:val="left"/>
      </w:pPr>
      <w:r>
        <w:rPr>
          <w:rFonts w:ascii="Arial" w:cs="Arial" w:eastAsia="Arial" w:hAnsi="Arial"/>
          <w:b w:val="false"/>
          <w:bCs w:val="false"/>
          <w:i w:val="false"/>
          <w:iCs w:val="false"/>
          <w:color w:val="374151"/>
          <w:sz w:val="22"/>
          <w:szCs w:val="22"/>
        </w:rPr>
        <w:t xml:space="preserve">I surveyed approximately 80 publications associated with the Osuna lab and identified a priority Tier-1 reading list of 5 papers directly relevant to MetaDynamics methodology on TrpB, plus 2 papers from the aNima/Arnold group that define the sequence-generation side of our pipeline.</w:t>
      </w:r>
    </w:p>
    <w:p>
      <w:pPr>
        <w:spacing w:after="80" w:before="160"/>
      </w:pPr>
      <w:r>
        <w:rPr>
          <w:rFonts w:ascii="Arial" w:cs="Arial" w:eastAsia="Arial" w:hAnsi="Arial"/>
          <w:b/>
          <w:bCs/>
          <w:color w:val="374151"/>
          <w:sz w:val="22"/>
          <w:szCs w:val="22"/>
        </w:rPr>
        <w:t xml:space="preserve">Reading Progress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2200"/>
        <w:gridCol w:w="1560"/>
        <w:gridCol w:w="800"/>
      </w:tblGrid>
      <w:tr>
        <w:trPr>
          <w:tblHeader/>
        </w:trPr>
        <w:tc>
          <w:tcPr>
            <w:tcW w:type="dxa" w:w="400"/>
            <w:tcBorders>
              <w:top w:val="single" w:color="D1D5DB" w:sz="1"/>
              <w:left w:val="single" w:color="D1D5DB" w:sz="1"/>
              <w:bottom w:val="single" w:color="D1D5DB" w:sz="1"/>
              <w:right w:val="single" w:color="D1D5DB" w:sz="1"/>
            </w:tcBorders>
            <w:shd w:fill="1a2744"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4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2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Journal / Year</w:t>
            </w:r>
          </w:p>
        </w:tc>
        <w:tc>
          <w:tcPr>
            <w:tcW w:type="dxa" w:w="156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DOI</w:t>
            </w:r>
          </w:p>
        </w:tc>
        <w:tc>
          <w:tcPr>
            <w:tcW w:type="dxa" w:w="800"/>
            <w:tcBorders>
              <w:top w:val="single" w:color="D1D5DB" w:sz="1"/>
              <w:left w:val="single" w:color="D1D5DB" w:sz="1"/>
              <w:bottom w:val="single" w:color="D1D5DB" w:sz="1"/>
              <w:right w:val="single" w:color="D1D5DB" w:sz="1"/>
            </w:tcBorders>
            <w:shd w:fill="1a274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Status</w:t>
            </w:r>
          </w:p>
        </w:tc>
      </w:tr>
      <w:tr>
        <w:tc>
          <w:tcPr>
            <w:tcW w:type="dxa"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Arial" w:cs="Arial" w:eastAsia="Arial" w:hAnsi="Arial"/>
                <w:b/>
                <w:bCs/>
                <w:color w:val="1a2744"/>
                <w:sz w:val="20"/>
                <w:szCs w:val="20"/>
              </w:rPr>
              <w:t xml:space="preserve">1</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Deciphering the Allosterically Driven Conformational Ensemble in Tryptophan Synthase Evolution (Maria-Solano, Iglesias-Fernandez, Osuna)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9"/>
                <w:szCs w:val="19"/>
              </w:rPr>
              <w:t xml:space="preserve">JACS 2019</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10.1021/jacs.9b03646</w:t>
            </w:r>
          </w:p>
        </w:tc>
        <w:tc>
          <w:tcPr>
            <w:tcW w:type="dxa" w:w="8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pPr>
              <w:jc w:val="center"/>
            </w:pPr>
            <w:r>
              <w:rPr>
                <w:rFonts w:ascii="Arial" w:cs="Arial" w:eastAsia="Arial" w:hAnsi="Arial"/>
                <w:b/>
                <w:bCs/>
                <w:color w:val="15803D"/>
                <w:sz w:val="19"/>
                <w:szCs w:val="19"/>
              </w:rPr>
              <w:t xml:space="preserve">Read</w:t>
            </w:r>
          </w:p>
        </w:tc>
      </w:tr>
      <w:tr>
        <w:tc>
          <w:tcPr>
            <w:tcW w:type="dxa"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Arial" w:cs="Arial" w:eastAsia="Arial" w:hAnsi="Arial"/>
                <w:b/>
                <w:bCs/>
                <w:color w:val="1a2744"/>
                <w:sz w:val="20"/>
                <w:szCs w:val="20"/>
              </w:rPr>
              <w:t xml:space="preserve">2</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 Silico Identification and Experimental Validation of Distal Activity-Enhancing Mutations in Tryptophan Synthase (Maria-Solano, Kinateder, ..., Osuna)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9"/>
                <w:szCs w:val="19"/>
              </w:rPr>
              <w:t xml:space="preserve">ACS Catal. 2021</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10.1021/acscatal.1c03950</w:t>
            </w:r>
          </w:p>
        </w:tc>
        <w:tc>
          <w:tcPr>
            <w:tcW w:type="dxa" w:w="8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pPr>
              <w:jc w:val="center"/>
            </w:pPr>
            <w:r>
              <w:rPr>
                <w:rFonts w:ascii="Arial" w:cs="Arial" w:eastAsia="Arial" w:hAnsi="Arial"/>
                <w:b/>
                <w:bCs/>
                <w:color w:val="15803D"/>
                <w:sz w:val="19"/>
                <w:szCs w:val="19"/>
              </w:rPr>
              <w:t xml:space="preserve">Read</w:t>
            </w:r>
          </w:p>
        </w:tc>
      </w:tr>
      <w:tr>
        <w:tc>
          <w:tcPr>
            <w:tcW w:type="dxa"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Arial" w:cs="Arial" w:eastAsia="Arial" w:hAnsi="Arial"/>
                <w:b/>
                <w:bCs/>
                <w:color w:val="1a2744"/>
                <w:sz w:val="20"/>
                <w:szCs w:val="20"/>
              </w:rPr>
              <w:t xml:space="preserve">3</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Sequence-based generative AI design of versatile tryptophan synthases (Lambert, ..., Anandkumar, Arnold)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9"/>
                <w:szCs w:val="19"/>
              </w:rPr>
              <w:t xml:space="preserve">Nat. Commun. 2026</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w:t>
            </w:r>
          </w:p>
        </w:tc>
        <w:tc>
          <w:tcPr>
            <w:tcW w:type="dxa" w:w="800"/>
            <w:tcBorders>
              <w:top w:val="single" w:color="D1D5DB" w:sz="1"/>
              <w:left w:val="single" w:color="D1D5DB" w:sz="1"/>
              <w:bottom w:val="single" w:color="D1D5DB" w:sz="1"/>
              <w:right w:val="single" w:color="D1D5DB" w:sz="1"/>
            </w:tcBorders>
            <w:shd w:fill="FFFBEB" w:val="clear"/>
            <w:tcMar>
              <w:top w:type="dxa" w:w="80"/>
              <w:left w:type="dxa" w:w="100"/>
              <w:bottom w:type="dxa" w:w="80"/>
              <w:right w:type="dxa" w:w="100"/>
            </w:tcMar>
          </w:tcPr>
          <w:p>
            <w:pPr>
              <w:jc w:val="center"/>
            </w:pPr>
            <w:r>
              <w:rPr>
                <w:rFonts w:ascii="Arial" w:cs="Arial" w:eastAsia="Arial" w:hAnsi="Arial"/>
                <w:b/>
                <w:bCs/>
                <w:color w:val="B45309"/>
                <w:sz w:val="19"/>
                <w:szCs w:val="19"/>
              </w:rPr>
              <w:t xml:space="preserve">Partial</w:t>
            </w:r>
          </w:p>
        </w:tc>
      </w:tr>
      <w:tr>
        <w:tc>
          <w:tcPr>
            <w:tcW w:type="dxa"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Arial" w:cs="Arial" w:eastAsia="Arial" w:hAnsi="Arial"/>
                <w:b/>
                <w:bCs/>
                <w:color w:val="1a2744"/>
                <w:sz w:val="20"/>
                <w:szCs w:val="20"/>
              </w:rPr>
              <w:t xml:space="preserve">4</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challenge of predicting distal active site mutations in computational enzyme design (Osuna —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9"/>
                <w:szCs w:val="19"/>
              </w:rPr>
              <w:t xml:space="preserve">WIREs Comp. Mol. Sci. 2020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10.1002/wcms.1502</w:t>
            </w:r>
          </w:p>
        </w:tc>
        <w:tc>
          <w:tcPr>
            <w:tcW w:type="dxa" w:w="8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Arial" w:cs="Arial" w:eastAsia="Arial" w:hAnsi="Arial"/>
                <w:b/>
                <w:bCs/>
                <w:color w:val="6B7280"/>
                <w:sz w:val="19"/>
                <w:szCs w:val="19"/>
              </w:rPr>
              <w:t xml:space="preserve">Queued</w:t>
            </w:r>
          </w:p>
        </w:tc>
      </w:tr>
      <w:tr>
        <w:tc>
          <w:tcPr>
            <w:tcW w:type="dxa"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Arial" w:cs="Arial" w:eastAsia="Arial" w:hAnsi="Arial"/>
                <w:b/>
                <w:bCs/>
                <w:color w:val="1a2744"/>
                <w:sz w:val="20"/>
                <w:szCs w:val="20"/>
              </w:rPr>
              <w:t xml:space="preserve">5</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 naturally occurring standalone TrpB enzyme provides insights into allosteric communication (Kinateder, ..., Osuna)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9"/>
                <w:szCs w:val="19"/>
              </w:rPr>
              <w:t xml:space="preserve">Protein Sci. 2025</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10.1002/pro.70103</w:t>
            </w:r>
          </w:p>
        </w:tc>
        <w:tc>
          <w:tcPr>
            <w:tcW w:type="dxa" w:w="8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Arial" w:cs="Arial" w:eastAsia="Arial" w:hAnsi="Arial"/>
                <w:b/>
                <w:bCs/>
                <w:color w:val="6B7280"/>
                <w:sz w:val="19"/>
                <w:szCs w:val="19"/>
              </w:rPr>
              <w:t xml:space="preserve">Queued</w:t>
            </w:r>
          </w:p>
        </w:tc>
      </w:tr>
      <w:tr>
        <w:tc>
          <w:tcPr>
            <w:tcW w:type="dxa"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Arial" w:cs="Arial" w:eastAsia="Arial" w:hAnsi="Arial"/>
                <w:b/>
                <w:bCs/>
                <w:color w:val="1a2744"/>
                <w:sz w:val="20"/>
                <w:szCs w:val="20"/>
              </w:rPr>
              <w:t xml:space="preserve">6</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Estimating conformational heterogeneity of TrpB with a template-based AlphaFold2 approach (Casadevall, ..., Osuna)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9"/>
                <w:szCs w:val="19"/>
              </w:rPr>
              <w:t xml:space="preserve">Protein Sci. 2022</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10.1002/pro.4426</w:t>
            </w:r>
          </w:p>
        </w:tc>
        <w:tc>
          <w:tcPr>
            <w:tcW w:type="dxa" w:w="8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Arial" w:cs="Arial" w:eastAsia="Arial" w:hAnsi="Arial"/>
                <w:b/>
                <w:bCs/>
                <w:color w:val="6B7280"/>
                <w:sz w:val="19"/>
                <w:szCs w:val="19"/>
              </w:rPr>
              <w:t xml:space="preserve">Queued</w:t>
            </w:r>
          </w:p>
        </w:tc>
      </w:tr>
    </w:tbl>
    <w:p>
      <w:pPr>
        <w:spacing w:after="0" w:before="16"/>
      </w:pPr>
    </w:p>
    <w:p>
      <w:pPr>
        <w:spacing w:after="80" w:before="200"/>
      </w:pPr>
      <w:r>
        <w:rPr>
          <w:rFonts w:ascii="Arial" w:cs="Arial" w:eastAsia="Arial" w:hAnsi="Arial"/>
          <w:b/>
          <w:bCs/>
          <w:color w:val="2563EB"/>
          <w:sz w:val="24"/>
          <w:szCs w:val="24"/>
        </w:rPr>
        <w:t xml:space="preserve">1b. Key Takeaways from Deep Reading</w:t>
      </w:r>
    </w:p>
    <w:p>
      <w:pPr>
        <w:spacing w:after="60" w:before="120"/>
        <w:jc w:val="left"/>
      </w:pPr>
      <w:r>
        <w:rPr>
          <w:rFonts w:ascii="Arial" w:cs="Arial" w:eastAsia="Arial" w:hAnsi="Arial"/>
          <w:b/>
          <w:bCs/>
          <w:i w:val="false"/>
          <w:iCs w:val="false"/>
          <w:color w:val="374151"/>
          <w:sz w:val="22"/>
          <w:szCs w:val="22"/>
        </w:rPr>
        <w:t xml:space="preserve">From JACS 2019 (Maria-Solano et al.) — MetaDynamics FEL of COMM Domain:</w:t>
      </w:r>
    </w:p>
    <w:p>
      <w:pPr>
        <w:pStyle w:val="ListParagraph"/>
        <w:numPr>
          <w:ilvl w:val="0"/>
          <w:numId w:val="2"/>
        </w:numPr>
        <w:spacing w:after="60" w:before="60"/>
      </w:pPr>
      <w:r>
        <w:rPr>
          <w:rFonts w:ascii="Arial" w:cs="Arial" w:eastAsia="Arial" w:hAnsi="Arial"/>
          <w:color w:val="374151"/>
          <w:sz w:val="22"/>
          <w:szCs w:val="22"/>
        </w:rPr>
        <w:t xml:space="preserve">The central methodological contribution is well-tempered MetaDynamics with path collective variables (s, z): s measures progression along the O→C COMM domain transition; z measures deviation from the reference path (allowing discovery of novel conformations not predicted by X-ray).</w:t>
      </w:r>
    </w:p>
    <w:p>
      <w:pPr>
        <w:pStyle w:val="ListParagraph"/>
        <w:numPr>
          <w:ilvl w:val="0"/>
          <w:numId w:val="2"/>
        </w:numPr>
        <w:spacing w:after="60" w:before="60"/>
      </w:pPr>
      <w:r>
        <w:rPr>
          <w:rFonts w:ascii="Arial" w:cs="Arial" w:eastAsia="Arial" w:hAnsi="Arial"/>
          <w:color w:val="374151"/>
          <w:sz w:val="22"/>
          <w:szCs w:val="22"/>
        </w:rPr>
        <w:t xml:space="preserve">Three systems compared at four catalytic intermediates (E(Ain), E(Aex1), E(A-A), E(Q2)): PfTrpS (full complex), PfTrpB WT (isolated), PfTrpB0B2 (evolved).</w:t>
      </w:r>
    </w:p>
    <w:p>
      <w:pPr>
        <w:pStyle w:val="ListParagraph"/>
        <w:numPr>
          <w:ilvl w:val="0"/>
          <w:numId w:val="2"/>
        </w:numPr>
        <w:spacing w:after="60" w:before="60"/>
      </w:pPr>
      <w:r>
        <w:rPr>
          <w:rFonts w:ascii="Arial" w:cs="Arial" w:eastAsia="Arial" w:hAnsi="Arial"/>
          <w:color w:val="374151"/>
          <w:sz w:val="22"/>
          <w:szCs w:val="22"/>
        </w:rPr>
        <w:t xml:space="preserve">Core finding: PfTrpB0B2's 6 distal DE mutations lower the PC→C barrier from effectively inaccessible (WT) to ~2 kcal/mol, recovering the conformational ensemble of the full TrpS complex.</w:t>
      </w:r>
    </w:p>
    <w:p>
      <w:pPr>
        <w:pStyle w:val="ListParagraph"/>
        <w:numPr>
          <w:ilvl w:val="0"/>
          <w:numId w:val="2"/>
        </w:numPr>
        <w:spacing w:after="60" w:before="60"/>
      </w:pPr>
      <w:r>
        <w:rPr>
          <w:rFonts w:ascii="Arial" w:cs="Arial" w:eastAsia="Arial" w:hAnsi="Arial"/>
          <w:color w:val="374151"/>
          <w:sz w:val="22"/>
          <w:szCs w:val="22"/>
        </w:rPr>
        <w:t xml:space="preserve">Two quantitative metrics for productive C-state quality: (i) COMM domain RMSD &lt; 1.5 Å from C-state X-ray reference; (ii) K82–Q2 distance ≤ 3.6 Å for effective proton transfer.</w:t>
      </w:r>
    </w:p>
    <w:p>
      <w:pPr>
        <w:pStyle w:val="ListParagraph"/>
        <w:numPr>
          <w:ilvl w:val="0"/>
          <w:numId w:val="2"/>
        </w:numPr>
        <w:spacing w:after="60" w:before="60"/>
      </w:pPr>
      <w:r>
        <w:rPr>
          <w:rFonts w:ascii="Arial" w:cs="Arial" w:eastAsia="Arial" w:hAnsi="Arial"/>
          <w:color w:val="374151"/>
          <w:sz w:val="22"/>
          <w:szCs w:val="22"/>
        </w:rPr>
        <w:t xml:space="preserve">A novel PC* conformation (R159 moves 14 Å into active site, cation-π with indole) was discoverable only through the z-axis of the MetaDynamics FEL — invisible to crystallography.</w:t>
      </w:r>
    </w:p>
    <w:p>
      <w:pPr>
        <w:pStyle w:val="ListParagraph"/>
        <w:numPr>
          <w:ilvl w:val="0"/>
          <w:numId w:val="2"/>
        </w:numPr>
        <w:spacing w:after="60" w:before="60"/>
      </w:pPr>
      <w:r>
        <w:rPr>
          <w:rFonts w:ascii="Arial" w:cs="Arial" w:eastAsia="Arial" w:hAnsi="Arial"/>
          <w:color w:val="374151"/>
          <w:sz w:val="22"/>
          <w:szCs w:val="22"/>
        </w:rPr>
        <w:t xml:space="preserve">Critically, 500 ns of standard (unbiased) MD failed to sample even one O→C transition, establishing MetaDynamics as a necessary (not optional) tool for this system.</w:t>
      </w:r>
    </w:p>
    <w:p>
      <w:pPr>
        <w:spacing w:after="60" w:before="100"/>
      </w:pPr>
    </w:p>
    <w:p>
      <w:pPr>
        <w:spacing w:after="60" w:before="80"/>
        <w:jc w:val="left"/>
      </w:pPr>
      <w:r>
        <w:rPr>
          <w:rFonts w:ascii="Arial" w:cs="Arial" w:eastAsia="Arial" w:hAnsi="Arial"/>
          <w:b/>
          <w:bCs/>
          <w:i w:val="false"/>
          <w:iCs w:val="false"/>
          <w:color w:val="374151"/>
          <w:sz w:val="22"/>
          <w:szCs w:val="22"/>
        </w:rPr>
        <w:t xml:space="preserve">From ACS Catalysis 2021 (Maria-Solano et al.) — SPM + ASR Extension:</w:t>
      </w:r>
    </w:p>
    <w:p>
      <w:pPr>
        <w:pStyle w:val="ListParagraph"/>
        <w:numPr>
          <w:ilvl w:val="0"/>
          <w:numId w:val="2"/>
        </w:numPr>
        <w:spacing w:after="60" w:before="60"/>
      </w:pPr>
      <w:r>
        <w:rPr>
          <w:rFonts w:ascii="Arial" w:cs="Arial" w:eastAsia="Arial" w:hAnsi="Arial"/>
          <w:color w:val="374151"/>
          <w:sz w:val="22"/>
          <w:szCs w:val="22"/>
        </w:rPr>
        <w:t xml:space="preserve">Introduces the Shortest Path Map (SPM): a dynamic residue network analysis of MetaDynamics trajectories that identifies allosteric communication pathways. SPM predicted 5/6 PfTrpB DE mutation positions (83%).</w:t>
      </w:r>
    </w:p>
    <w:p>
      <w:pPr>
        <w:pStyle w:val="ListParagraph"/>
        <w:numPr>
          <w:ilvl w:val="0"/>
          <w:numId w:val="2"/>
        </w:numPr>
        <w:spacing w:after="60" w:before="60"/>
      </w:pPr>
      <w:r>
        <w:rPr>
          <w:rFonts w:ascii="Arial" w:cs="Arial" w:eastAsia="Arial" w:hAnsi="Arial"/>
          <w:color w:val="374151"/>
          <w:sz w:val="22"/>
          <w:szCs w:val="22"/>
        </w:rPr>
        <w:t xml:space="preserve">Ancestral sequence reconstruction (ASR) was used to trace evolutionary history: LBCA-TrpB already possessed a partially optimized COMM domain ensemble that subsequent mutations refined.</w:t>
      </w:r>
    </w:p>
    <w:p>
      <w:pPr>
        <w:pStyle w:val="ListParagraph"/>
        <w:numPr>
          <w:ilvl w:val="0"/>
          <w:numId w:val="2"/>
        </w:numPr>
        <w:spacing w:after="60" w:before="60"/>
      </w:pPr>
      <w:r>
        <w:rPr>
          <w:rFonts w:ascii="Arial" w:cs="Arial" w:eastAsia="Arial" w:hAnsi="Arial"/>
          <w:color w:val="374151"/>
          <w:sz w:val="22"/>
          <w:szCs w:val="22"/>
        </w:rPr>
        <w:t xml:space="preserve">The s/z path collective variable framework is explained more clearly here, giving me the conceptual basis for setting up path CVs in PLUMED.</w:t>
      </w:r>
    </w:p>
    <w:p>
      <w:pPr>
        <w:pStyle w:val="ListParagraph"/>
        <w:numPr>
          <w:ilvl w:val="0"/>
          <w:numId w:val="2"/>
        </w:numPr>
        <w:spacing w:after="60" w:before="60"/>
      </w:pPr>
      <w:r>
        <w:rPr>
          <w:rFonts w:ascii="Arial" w:cs="Arial" w:eastAsia="Arial" w:hAnsi="Arial"/>
          <w:color w:val="374151"/>
          <w:sz w:val="22"/>
          <w:szCs w:val="22"/>
        </w:rPr>
        <w:t xml:space="preserve">A single rationally designed variant (SPM6) achieved activity comparable to multiple rounds of DE — demonstrating that MetaDynamics-guided rational design can replace large experimental screening campaigns.</w:t>
      </w:r>
    </w:p>
    <w:p>
      <w:pPr>
        <w:spacing w:after="0" w:before="16"/>
      </w:pPr>
    </w:p>
    <w:p>
      <w:pPr>
        <w:pBdr>
          <w:bottom w:val="single" w:color="2563EB" w:sz="6" w:space="4"/>
        </w:pBdr>
        <w:spacing w:after="100" w:before="280"/>
      </w:pPr>
      <w:r>
        <w:rPr>
          <w:rFonts w:ascii="Arial" w:cs="Arial" w:eastAsia="Arial" w:hAnsi="Arial"/>
          <w:b/>
          <w:bCs/>
          <w:color w:val="1a2744"/>
          <w:sz w:val="28"/>
          <w:szCs w:val="28"/>
        </w:rPr>
        <w:t xml:space="preserve">2. Technical Understanding Developed</w:t>
      </w:r>
    </w:p>
    <w:p>
      <w:pPr>
        <w:spacing w:after="80" w:before="80"/>
        <w:jc w:val="left"/>
      </w:pPr>
      <w:r>
        <w:rPr>
          <w:rFonts w:ascii="Arial" w:cs="Arial" w:eastAsia="Arial" w:hAnsi="Arial"/>
          <w:b w:val="false"/>
          <w:bCs w:val="false"/>
          <w:i w:val="false"/>
          <w:iCs w:val="false"/>
          <w:color w:val="374151"/>
          <w:sz w:val="22"/>
          <w:szCs w:val="22"/>
        </w:rPr>
        <w:t xml:space="preserve">Based on my reading, I can now describe the MetaDynamics workflow I will need to implement:</w:t>
      </w:r>
    </w:p>
    <w:p>
      <w:pPr>
        <w:pStyle w:val="ListParagraph"/>
        <w:numPr>
          <w:ilvl w:val="0"/>
          <w:numId w:val="3"/>
        </w:numPr>
        <w:spacing w:after="60" w:before="80"/>
      </w:pPr>
      <w:r>
        <w:rPr>
          <w:rFonts w:ascii="Arial" w:cs="Arial" w:eastAsia="Arial" w:hAnsi="Arial"/>
          <w:color w:val="374151"/>
          <w:sz w:val="22"/>
          <w:szCs w:val="22"/>
        </w:rPr>
        <w:t xml:space="preserve">Obtain O-state and C-state reference PDB structures for PfTrpB (or a suitable homolog of the de novo designed sequences).</w:t>
      </w:r>
    </w:p>
    <w:p>
      <w:pPr>
        <w:pStyle w:val="ListParagraph"/>
        <w:numPr>
          <w:ilvl w:val="0"/>
          <w:numId w:val="3"/>
        </w:numPr>
        <w:spacing w:after="60" w:before="80"/>
      </w:pPr>
      <w:r>
        <w:rPr>
          <w:rFonts w:ascii="Arial" w:cs="Arial" w:eastAsia="Arial" w:hAnsi="Arial"/>
          <w:color w:val="374151"/>
          <w:sz w:val="22"/>
          <w:szCs w:val="22"/>
        </w:rPr>
        <w:t xml:space="preserve">Build the path collective variable in PLUMED using COMM domain backbone atoms (residues 97–184), with the reference path interpolated from the O/C X-ray structures.</w:t>
      </w:r>
    </w:p>
    <w:p>
      <w:pPr>
        <w:pStyle w:val="ListParagraph"/>
        <w:numPr>
          <w:ilvl w:val="0"/>
          <w:numId w:val="3"/>
        </w:numPr>
        <w:spacing w:after="60" w:before="80"/>
      </w:pPr>
      <w:r>
        <w:rPr>
          <w:rFonts w:ascii="Arial" w:cs="Arial" w:eastAsia="Arial" w:hAnsi="Arial"/>
          <w:color w:val="374151"/>
          <w:sz w:val="22"/>
          <w:szCs w:val="22"/>
        </w:rPr>
        <w:t xml:space="preserve">Run well-tempered MetaDynamics (bias factor ~8–15, typical in enzyme studies) for each catalytic intermediate — minimally E(A-A) and E(Q2), which are most relevant to stereoselectivity.</w:t>
      </w:r>
    </w:p>
    <w:p>
      <w:pPr>
        <w:pStyle w:val="ListParagraph"/>
        <w:numPr>
          <w:ilvl w:val="0"/>
          <w:numId w:val="3"/>
        </w:numPr>
        <w:spacing w:after="60" w:before="80"/>
      </w:pPr>
      <w:r>
        <w:rPr>
          <w:rFonts w:ascii="Arial" w:cs="Arial" w:eastAsia="Arial" w:hAnsi="Arial"/>
          <w:color w:val="374151"/>
          <w:sz w:val="22"/>
          <w:szCs w:val="22"/>
        </w:rPr>
        <w:t xml:space="preserve">Reconstruct the 2D FEL (s × z axes) and extract: PC→C barrier height, C-state RMSD quality, K82–Q2 distance, and any novel off-pathway conformations (z-axis features).</w:t>
      </w:r>
    </w:p>
    <w:p>
      <w:pPr>
        <w:pStyle w:val="ListParagraph"/>
        <w:numPr>
          <w:ilvl w:val="0"/>
          <w:numId w:val="3"/>
        </w:numPr>
        <w:spacing w:after="60" w:before="80"/>
      </w:pPr>
      <w:r>
        <w:rPr>
          <w:rFonts w:ascii="Arial" w:cs="Arial" w:eastAsia="Arial" w:hAnsi="Arial"/>
          <w:color w:val="374151"/>
          <w:sz w:val="22"/>
          <w:szCs w:val="22"/>
        </w:rPr>
        <w:t xml:space="preserve">For D-Trp selectivity specifically: define an additional observable (not necessarily a bias CV) tracking the si-face vs. re-face attack angle of indole on the aminoacrylate C-β at the E(A-A)→E(Q2) transition.</w:t>
      </w:r>
    </w:p>
    <w:p>
      <w:pPr>
        <w:spacing w:after="80" w:before="80"/>
      </w:pPr>
      <w:r>
        <w:rPr>
          <w:rFonts w:ascii="Arial" w:cs="Arial" w:eastAsia="Arial" w:hAnsi="Arial"/>
          <w:color w:val="6B7280"/>
          <w:sz w:val="22"/>
          <w:szCs w:val="22"/>
        </w:rPr>
        <w:t xml:space="preserve">I have not yet set up the AMBER + PLUMED environment or run any simulations.</w:t>
      </w:r>
    </w:p>
    <w:p>
      <w:pPr>
        <w:spacing w:after="0" w:before="16"/>
      </w:pPr>
    </w:p>
    <w:p>
      <w:pPr>
        <w:pBdr>
          <w:bottom w:val="single" w:color="2563EB" w:sz="6" w:space="4"/>
        </w:pBdr>
        <w:spacing w:after="100" w:before="280"/>
      </w:pPr>
      <w:r>
        <w:rPr>
          <w:rFonts w:ascii="Arial" w:cs="Arial" w:eastAsia="Arial" w:hAnsi="Arial"/>
          <w:b/>
          <w:bCs/>
          <w:color w:val="1a2744"/>
          <w:sz w:val="28"/>
          <w:szCs w:val="28"/>
        </w:rPr>
        <w:t xml:space="preserve">3. Challenges Encountered</w:t>
      </w:r>
    </w:p>
    <w:p>
      <w:pPr>
        <w:spacing w:after="80" w:before="200"/>
      </w:pPr>
      <w:r>
        <w:rPr>
          <w:rFonts w:ascii="Arial" w:cs="Arial" w:eastAsia="Arial" w:hAnsi="Arial"/>
          <w:b/>
          <w:bCs/>
          <w:color w:val="2563EB"/>
          <w:sz w:val="24"/>
          <w:szCs w:val="24"/>
        </w:rPr>
        <w:t xml:space="preserve">Challenge 1 — Why MetaDynamics is necessary (resolved)</w:t>
      </w:r>
    </w:p>
    <w:p>
      <w:pPr>
        <w:spacing w:after="120" w:before="80"/>
        <w:jc w:val="left"/>
      </w:pPr>
      <w:r>
        <w:rPr>
          <w:rFonts w:ascii="Arial" w:cs="Arial" w:eastAsia="Arial" w:hAnsi="Arial"/>
          <w:b w:val="false"/>
          <w:bCs w:val="false"/>
          <w:i w:val="false"/>
          <w:iCs w:val="false"/>
          <w:color w:val="374151"/>
          <w:sz w:val="22"/>
          <w:szCs w:val="22"/>
        </w:rPr>
        <w:t xml:space="preserve">I was initially uncertain whether enhanced sampling was required or whether long standard MD would suffice. The JACS 2019 paper directly addresses this: 500 ns of unbiased MD produced no O→C transitions. Given that the COMM domain O→C transition is a μs–ms timescale event, MetaDynamics is not an optional efficiency gain — it is the only practical method to reconstruct the conformational free energy landscape. This is now my standard justification when explaining the approach.</w:t>
      </w:r>
    </w:p>
    <w:p>
      <w:pPr>
        <w:spacing w:after="80" w:before="200"/>
      </w:pPr>
      <w:r>
        <w:rPr>
          <w:rFonts w:ascii="Arial" w:cs="Arial" w:eastAsia="Arial" w:hAnsi="Arial"/>
          <w:b/>
          <w:bCs/>
          <w:color w:val="2563EB"/>
          <w:sz w:val="24"/>
          <w:szCs w:val="24"/>
        </w:rPr>
        <w:t xml:space="preserve">Challenge 2 — Relating existing FEL work to D-Trp selectivity (partially resolved)</w:t>
      </w:r>
    </w:p>
    <w:p>
      <w:pPr>
        <w:spacing w:after="120" w:before="80"/>
        <w:jc w:val="left"/>
      </w:pPr>
      <w:r>
        <w:rPr>
          <w:rFonts w:ascii="Arial" w:cs="Arial" w:eastAsia="Arial" w:hAnsi="Arial"/>
          <w:b w:val="false"/>
          <w:bCs w:val="false"/>
          <w:i w:val="false"/>
          <w:iCs w:val="false"/>
          <w:color w:val="374151"/>
          <w:sz w:val="22"/>
          <w:szCs w:val="22"/>
        </w:rPr>
        <w:t xml:space="preserve">All published Osuna TrpB MetaDynamics studies focus on stand-alone L-Trp activity. The D-Trp selectivity goal introduces a new dimension: the stereochemistry of indole attack on the aminoacrylate (re-face gives L-Trp, si-face gives D-Trp). I have not yet found an established geometric metric for capturing this in the TrpB active site. I have identified the E(A-A) intermediate as the most relevant stage (when indole enters and approaches the aminoacrylate), but defining the exact CV or reaction coordinate for re/si-face preference requires guidance from the literature or from you.</w:t>
      </w:r>
    </w:p>
    <w:p>
      <w:pPr>
        <w:spacing w:after="80" w:before="200"/>
      </w:pPr>
      <w:r>
        <w:rPr>
          <w:rFonts w:ascii="Arial" w:cs="Arial" w:eastAsia="Arial" w:hAnsi="Arial"/>
          <w:b/>
          <w:bCs/>
          <w:color w:val="2563EB"/>
          <w:sz w:val="24"/>
          <w:szCs w:val="24"/>
        </w:rPr>
        <w:t xml:space="preserve">Challenge 3 — Gap in the published D-Trp MetaDynamics literature</w:t>
      </w:r>
    </w:p>
    <w:p>
      <w:pPr>
        <w:spacing w:after="80" w:before="80"/>
        <w:jc w:val="left"/>
      </w:pPr>
      <w:r>
        <w:rPr>
          <w:rFonts w:ascii="Arial" w:cs="Arial" w:eastAsia="Arial" w:hAnsi="Arial"/>
          <w:b w:val="false"/>
          <w:bCs w:val="false"/>
          <w:i w:val="false"/>
          <w:iCs w:val="false"/>
          <w:color w:val="374151"/>
          <w:sz w:val="22"/>
          <w:szCs w:val="22"/>
        </w:rPr>
        <w:t xml:space="preserve">There is, to my knowledge, no published MetaDynamics study of TrpB that directly analyzes D-Trp versus L-Trp stereoselectivity. This means I cannot borrow an existing analysis framework and must design the D-Trp-specific component of the analysis from first principles. While this makes the project genuinely novel, it also means there is no methodological precedent to validate against.</w:t>
      </w:r>
    </w:p>
    <w:p>
      <w:pPr>
        <w:spacing w:after="0" w:before="16"/>
      </w:pPr>
    </w:p>
    <w:p>
      <w:pPr>
        <w:pBdr>
          <w:bottom w:val="single" w:color="2563EB" w:sz="6" w:space="4"/>
        </w:pBdr>
        <w:spacing w:after="100" w:before="280"/>
      </w:pPr>
      <w:r>
        <w:rPr>
          <w:rFonts w:ascii="Arial" w:cs="Arial" w:eastAsia="Arial" w:hAnsi="Arial"/>
          <w:b/>
          <w:bCs/>
          <w:color w:val="1a2744"/>
          <w:sz w:val="28"/>
          <w:szCs w:val="28"/>
        </w:rPr>
        <w:t xml:space="preserve">4. Questions for Your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7ED" w:val="clear"/>
            <w:tcMar>
              <w:top w:type="dxa" w:w="100"/>
              <w:left w:type="dxa" w:w="180"/>
              <w:bottom w:type="dxa" w:w="100"/>
              <w:right w:type="dxa" w:w="180"/>
            </w:tcMar>
          </w:tcPr>
          <w:p>
            <w:pPr>
              <w:spacing w:after="100" w:before="80"/>
            </w:pPr>
            <w:r>
              <w:rPr>
                <w:rFonts w:ascii="Arial" w:cs="Arial" w:eastAsia="Arial" w:hAnsi="Arial"/>
                <w:color w:val="374151"/>
                <w:sz w:val="22"/>
                <w:szCs w:val="22"/>
              </w:rPr>
              <w:t xml:space="preserve">I would value your input on the following before I finalize my computational approach:</w:t>
            </w:r>
          </w:p>
          <w:p>
            <w:pPr>
              <w:pStyle w:val="ListParagraph"/>
              <w:numPr>
                <w:ilvl w:val="0"/>
                <w:numId w:val="3"/>
              </w:numPr>
              <w:spacing w:after="60" w:before="80"/>
            </w:pPr>
            <w:r>
              <w:rPr>
                <w:rFonts w:ascii="Arial" w:cs="Arial" w:eastAsia="Arial" w:hAnsi="Arial"/>
                <w:b/>
                <w:bCs/>
                <w:color w:val="374151"/>
                <w:sz w:val="22"/>
                <w:szCs w:val="22"/>
              </w:rPr>
              <w:t xml:space="preserve">D-Trp selectivity metric: </w:t>
            </w:r>
            <w:r>
              <w:rPr>
                <w:rFonts w:ascii="Arial" w:cs="Arial" w:eastAsia="Arial" w:hAnsi="Arial"/>
                <w:color w:val="374151"/>
                <w:sz w:val="22"/>
                <w:szCs w:val="22"/>
              </w:rPr>
              <w:t xml:space="preserve">Is there an established dihedral angle or geometric criterion in the TrpB active site literature that captures re-face vs. si-face indole attack? Or should I define a new CV based on the approach vector of the indole C3 atom relative to the aminoacrylate C-β?</w:t>
            </w:r>
          </w:p>
          <w:p>
            <w:pPr>
              <w:pStyle w:val="ListParagraph"/>
              <w:numPr>
                <w:ilvl w:val="0"/>
                <w:numId w:val="3"/>
              </w:numPr>
              <w:spacing w:after="60" w:before="60"/>
            </w:pPr>
            <w:r>
              <w:rPr>
                <w:rFonts w:ascii="Arial" w:cs="Arial" w:eastAsia="Arial" w:hAnsi="Arial"/>
                <w:b/>
                <w:bCs/>
                <w:color w:val="374151"/>
                <w:sz w:val="22"/>
                <w:szCs w:val="22"/>
              </w:rPr>
              <w:t xml:space="preserve">Method validation strategy: </w:t>
            </w:r>
            <w:r>
              <w:rPr>
                <w:rFonts w:ascii="Arial" w:cs="Arial" w:eastAsia="Arial" w:hAnsi="Arial"/>
                <w:color w:val="374151"/>
                <w:sz w:val="22"/>
                <w:szCs w:val="22"/>
              </w:rPr>
              <w:t xml:space="preserve">Should I first reproduce the JACS 2019 results for PfTrpB WT or 0B2 as a method benchmark before applying MetaDynamics to the de novo sequences? Or is it more efficient to proceed directly to the design sequences once the environment is set up?</w:t>
            </w:r>
          </w:p>
          <w:p>
            <w:pPr>
              <w:pStyle w:val="ListParagraph"/>
              <w:numPr>
                <w:ilvl w:val="0"/>
                <w:numId w:val="3"/>
              </w:numPr>
              <w:spacing w:after="60" w:before="60"/>
            </w:pPr>
            <w:r>
              <w:rPr>
                <w:rFonts w:ascii="Arial" w:cs="Arial" w:eastAsia="Arial" w:hAnsi="Arial"/>
                <w:b/>
                <w:bCs/>
                <w:color w:val="374151"/>
                <w:sz w:val="22"/>
                <w:szCs w:val="22"/>
              </w:rPr>
              <w:t xml:space="preserve">Computational resources: </w:t>
            </w:r>
            <w:r>
              <w:rPr>
                <w:rFonts w:ascii="Arial" w:cs="Arial" w:eastAsia="Arial" w:hAnsi="Arial"/>
                <w:color w:val="374151"/>
                <w:sz w:val="22"/>
                <w:szCs w:val="22"/>
              </w:rPr>
              <w:t xml:space="preserve">What cluster or GPU allocation will I have access to? This determines how many parallel MetaDynamics trajectories I can run (the JACS 2019 experimental matrix has 12 simulations across 3 systems × 4 intermediates), and thus how much of the full protocol is feasible in the near term.</w:t>
            </w:r>
          </w:p>
          <w:p>
            <w:pPr>
              <w:pStyle w:val="ListParagraph"/>
              <w:numPr>
                <w:ilvl w:val="0"/>
                <w:numId w:val="3"/>
              </w:numPr>
              <w:spacing w:after="80" w:before="60"/>
            </w:pPr>
            <w:r>
              <w:rPr>
                <w:rFonts w:ascii="Arial" w:cs="Arial" w:eastAsia="Arial" w:hAnsi="Arial"/>
                <w:b/>
                <w:bCs/>
                <w:color w:val="374151"/>
                <w:sz w:val="22"/>
                <w:szCs w:val="22"/>
              </w:rPr>
              <w:t xml:space="preserve">Pipeline integration: </w:t>
            </w:r>
            <w:r>
              <w:rPr>
                <w:rFonts w:ascii="Arial" w:cs="Arial" w:eastAsia="Arial" w:hAnsi="Arial"/>
                <w:color w:val="374151"/>
                <w:sz w:val="22"/>
                <w:szCs w:val="22"/>
              </w:rPr>
              <w:t xml:space="preserve">How should the MetaDynamics FEL results feed back to the aNima sequence generation step? Is there a defined filtering criterion (e.g., PC→C barrier &lt; X kcal/mol) that would trigger acceptance or rejection of a generated sequence?</w:t>
            </w:r>
          </w:p>
        </w:tc>
      </w:tr>
    </w:tbl>
    <w:p>
      <w:pPr>
        <w:spacing w:after="0" w:before="16"/>
      </w:pPr>
    </w:p>
    <w:p>
      <w:pPr>
        <w:pBdr>
          <w:bottom w:val="single" w:color="2563EB" w:sz="6" w:space="4"/>
        </w:pBdr>
        <w:spacing w:after="100" w:before="280"/>
      </w:pPr>
      <w:r>
        <w:rPr>
          <w:rFonts w:ascii="Arial" w:cs="Arial" w:eastAsia="Arial" w:hAnsi="Arial"/>
          <w:b/>
          <w:bCs/>
          <w:color w:val="1a2744"/>
          <w:sz w:val="28"/>
          <w:szCs w:val="28"/>
        </w:rPr>
        <w:t xml:space="preserve">5. Plan for Next Week</w:t>
      </w:r>
    </w:p>
    <w:p>
      <w:pPr>
        <w:spacing w:after="80" w:before="200"/>
      </w:pPr>
      <w:r>
        <w:rPr>
          <w:rFonts w:ascii="Arial" w:cs="Arial" w:eastAsia="Arial" w:hAnsi="Arial"/>
          <w:b/>
          <w:bCs/>
          <w:color w:val="2563EB"/>
          <w:sz w:val="24"/>
          <w:szCs w:val="24"/>
        </w:rPr>
        <w:t xml:space="preserve">Reading</w:t>
      </w:r>
    </w:p>
    <w:p>
      <w:pPr>
        <w:pStyle w:val="ListParagraph"/>
        <w:numPr>
          <w:ilvl w:val="0"/>
          <w:numId w:val="2"/>
        </w:numPr>
        <w:spacing w:after="60" w:before="60"/>
      </w:pPr>
      <w:r>
        <w:rPr>
          <w:rFonts w:ascii="Arial" w:cs="Arial" w:eastAsia="Arial" w:hAnsi="Arial"/>
          <w:color w:val="374151"/>
          <w:sz w:val="22"/>
          <w:szCs w:val="22"/>
        </w:rPr>
        <w:t xml:space="preserve">Complete WIREs Comp. Mol. Sci. 2020 review (Osuna, DOI 10.1002/wcms.1502) — full picture of the SPM framework and its generalizability.</w:t>
      </w:r>
    </w:p>
    <w:p>
      <w:pPr>
        <w:pStyle w:val="ListParagraph"/>
        <w:numPr>
          <w:ilvl w:val="0"/>
          <w:numId w:val="2"/>
        </w:numPr>
        <w:spacing w:after="60" w:before="60"/>
      </w:pPr>
      <w:r>
        <w:rPr>
          <w:rFonts w:ascii="Arial" w:cs="Arial" w:eastAsia="Arial" w:hAnsi="Arial"/>
          <w:color w:val="374151"/>
          <w:sz w:val="22"/>
          <w:szCs w:val="22"/>
        </w:rPr>
        <w:t xml:space="preserve">Read Protein Science 2025 TrpB paper (Kinateder/Osuna, DOI 10.1002/pro.70103) — naturally occurring standalone TrpB with the same 6-residue allosteric motif; relevant to understanding what structural features to look for in de novo designs.</w:t>
      </w:r>
    </w:p>
    <w:p>
      <w:pPr>
        <w:spacing w:after="80" w:before="200"/>
      </w:pPr>
      <w:r>
        <w:rPr>
          <w:rFonts w:ascii="Arial" w:cs="Arial" w:eastAsia="Arial" w:hAnsi="Arial"/>
          <w:b/>
          <w:bCs/>
          <w:color w:val="2563EB"/>
          <w:sz w:val="24"/>
          <w:szCs w:val="24"/>
        </w:rPr>
        <w:t xml:space="preserve">Computational Environment Setup</w:t>
      </w:r>
    </w:p>
    <w:p>
      <w:pPr>
        <w:pStyle w:val="ListParagraph"/>
        <w:numPr>
          <w:ilvl w:val="0"/>
          <w:numId w:val="2"/>
        </w:numPr>
        <w:spacing w:after="60" w:before="60"/>
      </w:pPr>
      <w:r>
        <w:rPr>
          <w:rFonts w:ascii="Arial" w:cs="Arial" w:eastAsia="Arial" w:hAnsi="Arial"/>
          <w:color w:val="374151"/>
          <w:sz w:val="22"/>
          <w:szCs w:val="22"/>
        </w:rPr>
        <w:t xml:space="preserve">Install AMBER 22 (or 20) and PLUMED 2.9 on the available cluster; verify they compile and link correctly.</w:t>
      </w:r>
    </w:p>
    <w:p>
      <w:pPr>
        <w:pStyle w:val="ListParagraph"/>
        <w:numPr>
          <w:ilvl w:val="0"/>
          <w:numId w:val="2"/>
        </w:numPr>
        <w:spacing w:after="60" w:before="60"/>
      </w:pPr>
      <w:r>
        <w:rPr>
          <w:rFonts w:ascii="Arial" w:cs="Arial" w:eastAsia="Arial" w:hAnsi="Arial"/>
          <w:color w:val="374151"/>
          <w:sz w:val="22"/>
          <w:szCs w:val="22"/>
        </w:rPr>
        <w:t xml:space="preserve">Download PfTrpB PDB structures (O-state: 4HN4 or 1K7H; C-state: 2J9X or equivalent) and prepare topology files (tleap, FF14SB + GAFF2 for PLP cofactor).</w:t>
      </w:r>
    </w:p>
    <w:p>
      <w:pPr>
        <w:pStyle w:val="ListParagraph"/>
        <w:numPr>
          <w:ilvl w:val="0"/>
          <w:numId w:val="2"/>
        </w:numPr>
        <w:spacing w:after="60" w:before="60"/>
      </w:pPr>
      <w:r>
        <w:rPr>
          <w:rFonts w:ascii="Arial" w:cs="Arial" w:eastAsia="Arial" w:hAnsi="Arial"/>
          <w:color w:val="374151"/>
          <w:sz w:val="22"/>
          <w:szCs w:val="22"/>
        </w:rPr>
        <w:t xml:space="preserve">Run a short (10 ns) test MD of PfTrpB WT E(Ain) to verify system stability before setting up MetaDynamics.</w:t>
      </w:r>
    </w:p>
    <w:p>
      <w:pPr>
        <w:spacing w:after="80" w:before="200"/>
      </w:pPr>
      <w:r>
        <w:rPr>
          <w:rFonts w:ascii="Arial" w:cs="Arial" w:eastAsia="Arial" w:hAnsi="Arial"/>
          <w:b/>
          <w:bCs/>
          <w:color w:val="2563EB"/>
          <w:sz w:val="24"/>
          <w:szCs w:val="24"/>
        </w:rPr>
        <w:t xml:space="preserve">Deliverable for Next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0FDF4" w:val="clear"/>
            <w:tcMar>
              <w:top w:type="dxa" w:w="100"/>
              <w:left w:type="dxa" w:w="180"/>
              <w:bottom w:type="dxa" w:w="100"/>
              <w:right w:type="dxa" w:w="180"/>
            </w:tcMar>
          </w:tcPr>
          <w:p>
            <w:pPr>
              <w:spacing w:after="60" w:before="60"/>
            </w:pPr>
            <w:r>
              <w:rPr>
                <w:rFonts w:ascii="Arial" w:cs="Arial" w:eastAsia="Arial" w:hAnsi="Arial"/>
                <w:b/>
                <w:bCs/>
                <w:color w:val="0d9488"/>
                <w:sz w:val="22"/>
                <w:szCs w:val="22"/>
              </w:rPr>
              <w:t xml:space="preserve">By end of next week: </w:t>
            </w:r>
            <w:r>
              <w:rPr>
                <w:rFonts w:ascii="Arial" w:cs="Arial" w:eastAsia="Arial" w:hAnsi="Arial"/>
                <w:color w:val="374151"/>
                <w:sz w:val="22"/>
                <w:szCs w:val="22"/>
              </w:rPr>
              <w:t xml:space="preserve">A written technical memo (1–2 pages) documenting the exact MetaDynamics protocol parameters from the JACS 2019 supplemental (bias factor gamma, Gaussian height sigma, deposition rate, simulation length, path CV atom selection), ready for your review and for direct translation into a PLUMED input file.</w:t>
            </w:r>
          </w:p>
        </w:tc>
      </w:tr>
    </w:tbl>
    <w:p>
      <w:pPr>
        <w:pBdr>
          <w:top w:val="single" w:color="D1D5DB" w:sz="4" w:space="4"/>
        </w:pBdr>
        <w:spacing w:after="60" w:before="200"/>
      </w:pPr>
      <w:r>
        <w:rPr>
          <w:rFonts w:ascii="Arial" w:cs="Arial" w:eastAsia="Arial" w:hAnsi="Arial"/>
          <w:color w:val="6B7280"/>
          <w:sz w:val="21"/>
          <w:szCs w:val="21"/>
        </w:rPr>
        <w:t xml:space="preserve">Thank you — I am happy to discuss any of the above in our meeting. Please let me know if you would like me to adjust the scope or priority of next week's plan.</w:t>
      </w:r>
    </w:p>
    <w:p>
      <w:pPr>
        <w:spacing w:after="0" w:before="80"/>
      </w:pPr>
      <w:r>
        <w:rPr>
          <w:rFonts w:ascii="Arial" w:cs="Arial" w:eastAsia="Arial" w:hAnsi="Arial"/>
          <w:b/>
          <w:bCs/>
          <w:color w:val="374151"/>
          <w:sz w:val="22"/>
          <w:szCs w:val="22"/>
        </w:rPr>
        <w:t xml:space="preserve">Zhenpeng Liu</w:t>
      </w:r>
    </w:p>
    <w:p>
      <w:pPr>
        <w:spacing w:after="0" w:before="20"/>
      </w:pPr>
      <w:r>
        <w:rPr>
          <w:rFonts w:ascii="Arial" w:cs="Arial" w:eastAsia="Arial" w:hAnsi="Arial"/>
          <w:color w:val="6B7280"/>
          <w:sz w:val="20"/>
          <w:szCs w:val="20"/>
        </w:rPr>
        <w:t xml:space="preserve">liualex@ad.unc.edu  |  aNima Lab, Caltech</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2026-03-22T00:38:18.230Z</dcterms:created>
  <dcterms:modified xsi:type="dcterms:W3CDTF">2026-03-22T00:38:18.246Z</dcterms:modified>
</cp:coreProperties>
</file>

<file path=docProps/custom.xml><?xml version="1.0" encoding="utf-8"?>
<Properties xmlns="http://schemas.openxmlformats.org/officeDocument/2006/custom-properties" xmlns:vt="http://schemas.openxmlformats.org/officeDocument/2006/docPropsVTypes"/>
</file>