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2744"/>
          <w:sz w:val="34"/>
          <w:szCs w:val="34"/>
        </w:rPr>
        <w:t xml:space="preserve">Weekly Research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left w:val="none"/>
              <w:bottom w:val="none"/>
              <w:right w:val="none"/>
            </w:tcBorders>
            <w:shd w:fill="F3F4F6" w:val="clear"/>
            <w:tcMar>
              <w:top w:type="dxa" w:w="65"/>
              <w:left w:type="dxa" w:w="110"/>
              <w:bottom w:type="dxa" w:w="65"/>
              <w:right w:type="dxa" w:w="110"/>
            </w:tcMar>
          </w:tcPr>
          <w:p>
            <w:pPr>
              <w:spacing w:after="0" w:before="0"/>
              <w:jc w:val="left"/>
            </w:pPr>
            <w:r>
              <w:rPr>
                <w:rFonts w:ascii="Arial" w:cs="Arial" w:eastAsia="Arial" w:hAnsi="Arial"/>
                <w:b/>
                <w:bCs/>
                <w:i w:val="false"/>
                <w:iCs w:val="false"/>
                <w:color w:val="6B7280"/>
                <w:sz w:val="20"/>
                <w:szCs w:val="20"/>
              </w:rPr>
              <w:t xml:space="preserve">To:</w:t>
            </w:r>
          </w:p>
        </w:tc>
        <w:tc>
          <w:tcPr>
            <w:tcW w:type="dxa" w:w="7460"/>
            <w:tcBorders>
              <w:top w:val="none"/>
              <w:left w:val="none"/>
              <w:bottom w:val="none"/>
              <w:right w:val="none"/>
            </w:tcBorders>
            <w:tcMar>
              <w:top w:type="dxa" w:w="65"/>
              <w:left w:type="dxa" w:w="110"/>
              <w:bottom w:type="dxa" w:w="65"/>
              <w:right w:type="dxa" w:w="110"/>
            </w:tcMar>
          </w:tcPr>
          <w:p>
            <w:pPr>
              <w:spacing w:after="0" w:before="0"/>
              <w:jc w:val="left"/>
            </w:pPr>
            <w:r>
              <w:rPr>
                <w:rFonts w:ascii="Arial" w:cs="Arial" w:eastAsia="Arial" w:hAnsi="Arial"/>
                <w:b w:val="false"/>
                <w:bCs w:val="false"/>
                <w:i w:val="false"/>
                <w:iCs w:val="false"/>
                <w:color w:val="2d2d2d"/>
                <w:sz w:val="20"/>
                <w:szCs w:val="20"/>
              </w:rPr>
              <w:t xml:space="preserve">Professor [Advisor Name]</w:t>
            </w:r>
          </w:p>
        </w:tc>
      </w:tr>
      <w:tr>
        <w:tc>
          <w:tcPr>
            <w:tcW w:type="dxa" w:w="1900"/>
            <w:tcBorders>
              <w:top w:val="none"/>
              <w:left w:val="none"/>
              <w:bottom w:val="none"/>
              <w:right w:val="none"/>
            </w:tcBorders>
            <w:shd w:fill="F3F4F6" w:val="clear"/>
            <w:tcMar>
              <w:top w:type="dxa" w:w="65"/>
              <w:left w:type="dxa" w:w="110"/>
              <w:bottom w:type="dxa" w:w="65"/>
              <w:right w:type="dxa" w:w="110"/>
            </w:tcMar>
          </w:tcPr>
          <w:p>
            <w:pPr>
              <w:spacing w:after="0" w:before="0"/>
              <w:jc w:val="left"/>
            </w:pPr>
            <w:r>
              <w:rPr>
                <w:rFonts w:ascii="Arial" w:cs="Arial" w:eastAsia="Arial" w:hAnsi="Arial"/>
                <w:b/>
                <w:bCs/>
                <w:i w:val="false"/>
                <w:iCs w:val="false"/>
                <w:color w:val="6B7280"/>
                <w:sz w:val="20"/>
                <w:szCs w:val="20"/>
              </w:rPr>
              <w:t xml:space="preserve">From:</w:t>
            </w:r>
          </w:p>
        </w:tc>
        <w:tc>
          <w:tcPr>
            <w:tcW w:type="dxa" w:w="7460"/>
            <w:tcBorders>
              <w:top w:val="none"/>
              <w:left w:val="none"/>
              <w:bottom w:val="none"/>
              <w:right w:val="none"/>
            </w:tcBorders>
            <w:tcMar>
              <w:top w:type="dxa" w:w="65"/>
              <w:left w:type="dxa" w:w="110"/>
              <w:bottom w:type="dxa" w:w="65"/>
              <w:right w:type="dxa" w:w="110"/>
            </w:tcMar>
          </w:tcPr>
          <w:p>
            <w:pPr>
              <w:spacing w:after="0" w:before="0"/>
              <w:jc w:val="left"/>
            </w:pPr>
            <w:r>
              <w:rPr>
                <w:rFonts w:ascii="Arial" w:cs="Arial" w:eastAsia="Arial" w:hAnsi="Arial"/>
                <w:b w:val="false"/>
                <w:bCs w:val="false"/>
                <w:i w:val="false"/>
                <w:iCs w:val="false"/>
                <w:color w:val="2d2d2d"/>
                <w:sz w:val="20"/>
                <w:szCs w:val="20"/>
              </w:rPr>
              <w:t xml:space="preserve">Zhenpeng Liu  (aNima Lab, Caltech)</w:t>
            </w:r>
          </w:p>
        </w:tc>
      </w:tr>
      <w:tr>
        <w:tc>
          <w:tcPr>
            <w:tcW w:type="dxa" w:w="1900"/>
            <w:tcBorders>
              <w:top w:val="none"/>
              <w:left w:val="none"/>
              <w:bottom w:val="none"/>
              <w:right w:val="none"/>
            </w:tcBorders>
            <w:shd w:fill="F3F4F6" w:val="clear"/>
            <w:tcMar>
              <w:top w:type="dxa" w:w="65"/>
              <w:left w:type="dxa" w:w="110"/>
              <w:bottom w:type="dxa" w:w="65"/>
              <w:right w:type="dxa" w:w="110"/>
            </w:tcMar>
          </w:tcPr>
          <w:p>
            <w:pPr>
              <w:spacing w:after="0" w:before="0"/>
              <w:jc w:val="left"/>
            </w:pPr>
            <w:r>
              <w:rPr>
                <w:rFonts w:ascii="Arial" w:cs="Arial" w:eastAsia="Arial" w:hAnsi="Arial"/>
                <w:b/>
                <w:bCs/>
                <w:i w:val="false"/>
                <w:iCs w:val="false"/>
                <w:color w:val="6B7280"/>
                <w:sz w:val="20"/>
                <w:szCs w:val="20"/>
              </w:rPr>
              <w:t xml:space="preserve">Date:</w:t>
            </w:r>
          </w:p>
        </w:tc>
        <w:tc>
          <w:tcPr>
            <w:tcW w:type="dxa" w:w="7460"/>
            <w:tcBorders>
              <w:top w:val="none"/>
              <w:left w:val="none"/>
              <w:bottom w:val="none"/>
              <w:right w:val="none"/>
            </w:tcBorders>
            <w:tcMar>
              <w:top w:type="dxa" w:w="65"/>
              <w:left w:type="dxa" w:w="110"/>
              <w:bottom w:type="dxa" w:w="65"/>
              <w:right w:type="dxa" w:w="110"/>
            </w:tcMar>
          </w:tcPr>
          <w:p>
            <w:pPr>
              <w:spacing w:after="0" w:before="0"/>
              <w:jc w:val="left"/>
            </w:pPr>
            <w:r>
              <w:rPr>
                <w:rFonts w:ascii="Arial" w:cs="Arial" w:eastAsia="Arial" w:hAnsi="Arial"/>
                <w:b w:val="false"/>
                <w:bCs w:val="false"/>
                <w:i w:val="false"/>
                <w:iCs w:val="false"/>
                <w:color w:val="2d2d2d"/>
                <w:sz w:val="20"/>
                <w:szCs w:val="20"/>
              </w:rPr>
              <w:t xml:space="preserve">March 22, 2026</w:t>
            </w:r>
          </w:p>
        </w:tc>
      </w:tr>
      <w:tr>
        <w:tc>
          <w:tcPr>
            <w:tcW w:type="dxa" w:w="1900"/>
            <w:tcBorders>
              <w:top w:val="none"/>
              <w:left w:val="none"/>
              <w:bottom w:val="none"/>
              <w:right w:val="none"/>
            </w:tcBorders>
            <w:shd w:fill="F3F4F6" w:val="clear"/>
            <w:tcMar>
              <w:top w:type="dxa" w:w="65"/>
              <w:left w:type="dxa" w:w="110"/>
              <w:bottom w:type="dxa" w:w="65"/>
              <w:right w:type="dxa" w:w="110"/>
            </w:tcMar>
          </w:tcPr>
          <w:p>
            <w:pPr>
              <w:spacing w:after="0" w:before="0"/>
              <w:jc w:val="left"/>
            </w:pPr>
            <w:r>
              <w:rPr>
                <w:rFonts w:ascii="Arial" w:cs="Arial" w:eastAsia="Arial" w:hAnsi="Arial"/>
                <w:b/>
                <w:bCs/>
                <w:i w:val="false"/>
                <w:iCs w:val="false"/>
                <w:color w:val="6B7280"/>
                <w:sz w:val="20"/>
                <w:szCs w:val="20"/>
              </w:rPr>
              <w:t xml:space="preserve">Week:</w:t>
            </w:r>
          </w:p>
        </w:tc>
        <w:tc>
          <w:tcPr>
            <w:tcW w:type="dxa" w:w="7460"/>
            <w:tcBorders>
              <w:top w:val="none"/>
              <w:left w:val="none"/>
              <w:bottom w:val="none"/>
              <w:right w:val="none"/>
            </w:tcBorders>
            <w:tcMar>
              <w:top w:type="dxa" w:w="65"/>
              <w:left w:type="dxa" w:w="110"/>
              <w:bottom w:type="dxa" w:w="65"/>
              <w:right w:type="dxa" w:w="110"/>
            </w:tcMar>
          </w:tcPr>
          <w:p>
            <w:pPr>
              <w:spacing w:after="0" w:before="0"/>
              <w:jc w:val="left"/>
            </w:pPr>
            <w:r>
              <w:rPr>
                <w:rFonts w:ascii="Arial" w:cs="Arial" w:eastAsia="Arial" w:hAnsi="Arial"/>
                <w:b w:val="false"/>
                <w:bCs w:val="false"/>
                <w:i w:val="false"/>
                <w:iCs w:val="false"/>
                <w:color w:val="2d2d2d"/>
                <w:sz w:val="20"/>
                <w:szCs w:val="20"/>
              </w:rPr>
              <w:t xml:space="preserve">#1  Literature review and project scoping</w:t>
            </w:r>
          </w:p>
        </w:tc>
      </w:tr>
    </w:tbl>
    <w:p>
      <w:pPr>
        <w:spacing w:after="140" w:before="0"/>
      </w:pPr>
    </w:p>
    <w:p>
      <w:pPr>
        <w:pBdr>
          <w:bottom w:val="single" w:color="2563EB" w:sz="8" w:space="5"/>
        </w:pBdr>
        <w:spacing w:after="100" w:before="300"/>
      </w:pPr>
      <w:r>
        <w:rPr>
          <w:rFonts w:ascii="Arial" w:cs="Arial" w:eastAsia="Arial" w:hAnsi="Arial"/>
          <w:b/>
          <w:bCs/>
          <w:color w:val="1a2744"/>
          <w:sz w:val="30"/>
          <w:szCs w:val="30"/>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FF6FF" w:val="clear"/>
            <w:tcMar>
              <w:top w:type="dxa" w:w="110"/>
              <w:left w:type="dxa" w:w="200"/>
              <w:bottom w:type="dxa" w:w="110"/>
              <w:right w:type="dxa" w:w="200"/>
            </w:tcMar>
          </w:tcPr>
          <w:p>
            <w:pPr>
              <w:spacing w:after="0" w:before="0"/>
              <w:jc w:val="left"/>
            </w:pPr>
            <w:r>
              <w:rPr>
                <w:rFonts w:ascii="Arial" w:cs="Arial" w:eastAsia="Arial" w:hAnsi="Arial"/>
                <w:b w:val="false"/>
                <w:bCs w:val="false"/>
                <w:i w:val="false"/>
                <w:iCs w:val="false"/>
                <w:color w:val="2d2d2d"/>
                <w:sz w:val="22"/>
                <w:szCs w:val="22"/>
              </w:rPr>
              <w:t xml:space="preserve">This week I focused on reading the core papers behind the TrpB MetaDynamics project and our lab's 2026 Nature Communications paper on generative TrpB design. The main goal was to understand what MetaDynamics can and cannot tell us about enzyme function, and how it might complement the generative pipeline our lab has already built. I have not run any simulations yet. The central open question I want to discuss is how MetaDynamics could serve as a physics-based filter for D-tryptophan selectivity, which is a conformational property that the language model has no training signal for.</w:t>
            </w:r>
          </w:p>
        </w:tc>
      </w:tr>
    </w:tbl>
    <w:p>
      <w:pPr>
        <w:spacing w:after="140" w:before="0"/>
      </w:pPr>
    </w:p>
    <w:p>
      <w:pPr>
        <w:pBdr>
          <w:bottom w:val="single" w:color="2563EB" w:sz="8" w:space="5"/>
        </w:pBdr>
        <w:spacing w:after="100" w:before="300"/>
      </w:pPr>
      <w:r>
        <w:rPr>
          <w:rFonts w:ascii="Arial" w:cs="Arial" w:eastAsia="Arial" w:hAnsi="Arial"/>
          <w:b/>
          <w:bCs/>
          <w:color w:val="1a2744"/>
          <w:sz w:val="30"/>
          <w:szCs w:val="30"/>
        </w:rPr>
        <w:t xml:space="preserve">1.  Work Done</w:t>
      </w:r>
    </w:p>
    <w:p>
      <w:pPr>
        <w:spacing w:after="30" w:before="0"/>
      </w:pPr>
    </w:p>
    <w:p>
      <w:pPr>
        <w:spacing w:after="90" w:before="90"/>
        <w:jc w:val="left"/>
      </w:pPr>
      <w:r>
        <w:rPr>
          <w:rFonts w:ascii="Arial" w:cs="Arial" w:eastAsia="Arial" w:hAnsi="Arial"/>
          <w:b w:val="false"/>
          <w:bCs w:val="false"/>
          <w:i w:val="false"/>
          <w:iCs w:val="false"/>
          <w:color w:val="2d2d2d"/>
          <w:sz w:val="22"/>
          <w:szCs w:val="22"/>
        </w:rPr>
        <w:t xml:space="preserve">Below is a summary of the papers I went through this week and where I currently stand on each one.</w:t>
      </w:r>
    </w:p>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4500"/>
        <w:gridCol w:w="2200"/>
        <w:gridCol w:w="1480"/>
        <w:gridCol w:w="800"/>
      </w:tblGrid>
      <w:tr>
        <w:trPr>
          <w:tblHeader/>
        </w:trPr>
        <w:tc>
          <w:tcPr>
            <w:tcW w:type="dxa" w:w="380"/>
            <w:tcBorders>
              <w:top w:val="single" w:color="D1D5DB" w:sz="1"/>
              <w:left w:val="single" w:color="D1D5DB" w:sz="1"/>
              <w:bottom w:val="single" w:color="D1D5DB" w:sz="1"/>
              <w:right w:val="single" w:color="D1D5DB" w:sz="1"/>
            </w:tcBorders>
            <w:shd w:fill="1a2744" w:val="clear"/>
            <w:tcMar>
              <w:top w:type="dxa" w:w="70"/>
              <w:left w:type="dxa" w:w="90"/>
              <w:bottom w:type="dxa" w:w="70"/>
              <w:right w:type="dxa" w:w="90"/>
            </w:tcMar>
          </w:tcPr>
          <w:p>
            <w:r>
              <w:rPr>
                <w:rFonts w:ascii="Arial" w:cs="Arial" w:eastAsia="Arial" w:hAnsi="Arial"/>
                <w:b/>
                <w:bCs/>
                <w:color w:val="FFFFFF"/>
                <w:sz w:val="19"/>
                <w:szCs w:val="19"/>
              </w:rPr>
              <w:t xml:space="preserve">#</w:t>
            </w:r>
          </w:p>
        </w:tc>
        <w:tc>
          <w:tcPr>
            <w:tcW w:type="dxa" w:w="4500"/>
            <w:tcBorders>
              <w:top w:val="single" w:color="D1D5DB" w:sz="1"/>
              <w:left w:val="single" w:color="D1D5DB" w:sz="1"/>
              <w:bottom w:val="single" w:color="D1D5DB" w:sz="1"/>
              <w:right w:val="single" w:color="D1D5DB" w:sz="1"/>
            </w:tcBorders>
            <w:shd w:fill="1a2744" w:val="clear"/>
            <w:tcMar>
              <w:top w:type="dxa" w:w="70"/>
              <w:left w:type="dxa" w:w="110"/>
              <w:bottom w:type="dxa" w:w="70"/>
              <w:right w:type="dxa" w:w="110"/>
            </w:tcMar>
          </w:tcPr>
          <w:p>
            <w:r>
              <w:rPr>
                <w:rFonts w:ascii="Arial" w:cs="Arial" w:eastAsia="Arial" w:hAnsi="Arial"/>
                <w:b/>
                <w:bCs/>
                <w:color w:val="FFFFFF"/>
                <w:sz w:val="19"/>
                <w:szCs w:val="19"/>
              </w:rPr>
              <w:t xml:space="preserve">Paper</w:t>
            </w:r>
          </w:p>
        </w:tc>
        <w:tc>
          <w:tcPr>
            <w:tcW w:type="dxa" w:w="2200"/>
            <w:tcBorders>
              <w:top w:val="single" w:color="D1D5DB" w:sz="1"/>
              <w:left w:val="single" w:color="D1D5DB" w:sz="1"/>
              <w:bottom w:val="single" w:color="D1D5DB" w:sz="1"/>
              <w:right w:val="single" w:color="D1D5DB" w:sz="1"/>
            </w:tcBorders>
            <w:shd w:fill="1a2744" w:val="clear"/>
            <w:tcMar>
              <w:top w:type="dxa" w:w="70"/>
              <w:left w:type="dxa" w:w="110"/>
              <w:bottom w:type="dxa" w:w="70"/>
              <w:right w:type="dxa" w:w="110"/>
            </w:tcMar>
          </w:tcPr>
          <w:p>
            <w:r>
              <w:rPr>
                <w:rFonts w:ascii="Arial" w:cs="Arial" w:eastAsia="Arial" w:hAnsi="Arial"/>
                <w:b/>
                <w:bCs/>
                <w:color w:val="FFFFFF"/>
                <w:sz w:val="19"/>
                <w:szCs w:val="19"/>
              </w:rPr>
              <w:t xml:space="preserve">Journal</w:t>
            </w:r>
          </w:p>
        </w:tc>
        <w:tc>
          <w:tcPr>
            <w:tcW w:type="dxa" w:w="1480"/>
            <w:tcBorders>
              <w:top w:val="single" w:color="D1D5DB" w:sz="1"/>
              <w:left w:val="single" w:color="D1D5DB" w:sz="1"/>
              <w:bottom w:val="single" w:color="D1D5DB" w:sz="1"/>
              <w:right w:val="single" w:color="D1D5DB" w:sz="1"/>
            </w:tcBorders>
            <w:shd w:fill="1a2744" w:val="clear"/>
            <w:tcMar>
              <w:top w:type="dxa" w:w="70"/>
              <w:left w:type="dxa" w:w="110"/>
              <w:bottom w:type="dxa" w:w="70"/>
              <w:right w:type="dxa" w:w="110"/>
            </w:tcMar>
          </w:tcPr>
          <w:p>
            <w:r>
              <w:rPr>
                <w:rFonts w:ascii="Arial" w:cs="Arial" w:eastAsia="Arial" w:hAnsi="Arial"/>
                <w:b/>
                <w:bCs/>
                <w:color w:val="FFFFFF"/>
                <w:sz w:val="19"/>
                <w:szCs w:val="19"/>
              </w:rPr>
              <w:t xml:space="preserve">DOI</w:t>
            </w:r>
          </w:p>
        </w:tc>
        <w:tc>
          <w:tcPr>
            <w:tcW w:type="dxa" w:w="800"/>
            <w:tcBorders>
              <w:top w:val="single" w:color="D1D5DB" w:sz="1"/>
              <w:left w:val="single" w:color="D1D5DB" w:sz="1"/>
              <w:bottom w:val="single" w:color="D1D5DB" w:sz="1"/>
              <w:right w:val="single" w:color="D1D5DB" w:sz="1"/>
            </w:tcBorders>
            <w:shd w:fill="1a2744" w:val="clear"/>
            <w:tcMar>
              <w:top w:type="dxa" w:w="70"/>
              <w:left w:type="dxa" w:w="90"/>
              <w:bottom w:type="dxa" w:w="70"/>
              <w:right w:type="dxa" w:w="90"/>
            </w:tcMar>
          </w:tcPr>
          <w:p>
            <w:pPr>
              <w:jc w:val="center"/>
            </w:pPr>
            <w:r>
              <w:rPr>
                <w:rFonts w:ascii="Arial" w:cs="Arial" w:eastAsia="Arial" w:hAnsi="Arial"/>
                <w:b/>
                <w:bCs/>
                <w:color w:val="FFFFFF"/>
                <w:sz w:val="19"/>
                <w:szCs w:val="19"/>
              </w:rPr>
              <w:t xml:space="preserve">Status</w:t>
            </w:r>
          </w:p>
        </w:tc>
      </w:tr>
      <w:tr>
        <w:tc>
          <w:tcPr>
            <w:tcW w:type="dxa" w:w="380"/>
            <w:tcBorders>
              <w:top w:val="single" w:color="D1D5DB" w:sz="1"/>
              <w:left w:val="single" w:color="D1D5DB" w:sz="1"/>
              <w:bottom w:val="single" w:color="D1D5DB" w:sz="1"/>
              <w:right w:val="single" w:color="D1D5DB" w:sz="1"/>
            </w:tcBorders>
            <w:tcMar>
              <w:top w:type="dxa" w:w="70"/>
              <w:left w:type="dxa" w:w="90"/>
              <w:bottom w:type="dxa" w:w="70"/>
              <w:right w:type="dxa" w:w="90"/>
            </w:tcMar>
          </w:tcPr>
          <w:p>
            <w:pPr>
              <w:jc w:val="center"/>
            </w:pPr>
            <w:r>
              <w:rPr>
                <w:rFonts w:ascii="Arial" w:cs="Arial" w:eastAsia="Arial" w:hAnsi="Arial"/>
                <w:b/>
                <w:bCs/>
                <w:color w:val="1a2744"/>
                <w:sz w:val="19"/>
                <w:szCs w:val="19"/>
              </w:rPr>
              <w:t xml:space="preserve">1</w:t>
            </w:r>
          </w:p>
        </w:tc>
        <w:tc>
          <w:tcPr>
            <w:tcW w:type="dxa" w:w="45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after="0" w:before="0"/>
              <w:jc w:val="left"/>
            </w:pPr>
            <w:r>
              <w:rPr>
                <w:rFonts w:ascii="Arial" w:cs="Arial" w:eastAsia="Arial" w:hAnsi="Arial"/>
                <w:b w:val="false"/>
                <w:bCs w:val="false"/>
                <w:i w:val="false"/>
                <w:iCs w:val="false"/>
                <w:color w:val="2d2d2d"/>
                <w:sz w:val="19"/>
                <w:szCs w:val="19"/>
              </w:rPr>
              <w:t xml:space="preserve">Maria-Solano, Iglesias-Fernandez, Osuna (2019) Deciphering the Allosterically Driven Conformational Ensemble in Tryptophan Synthase Evolution</w:t>
            </w:r>
          </w:p>
        </w:tc>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after="0" w:before="0"/>
              <w:jc w:val="left"/>
            </w:pPr>
            <w:r>
              <w:rPr>
                <w:rFonts w:ascii="Arial" w:cs="Arial" w:eastAsia="Arial" w:hAnsi="Arial"/>
                <w:b w:val="false"/>
                <w:bCs w:val="false"/>
                <w:i/>
                <w:iCs/>
                <w:color w:val="6B7280"/>
                <w:sz w:val="18"/>
                <w:szCs w:val="18"/>
              </w:rPr>
              <w:t xml:space="preserve">JACS</w:t>
            </w:r>
          </w:p>
        </w:tc>
        <w:tc>
          <w:tcPr>
            <w:tcW w:type="dxa" w:w="148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after="0" w:before="0"/>
              <w:jc w:val="left"/>
            </w:pPr>
            <w:r>
              <w:rPr>
                <w:rFonts w:ascii="Arial" w:cs="Arial" w:eastAsia="Arial" w:hAnsi="Arial"/>
                <w:b w:val="false"/>
                <w:bCs w:val="false"/>
                <w:i w:val="false"/>
                <w:iCs w:val="false"/>
                <w:color w:val="2563EB"/>
                <w:sz w:val="17"/>
                <w:szCs w:val="17"/>
              </w:rPr>
              <w:t xml:space="preserve">10.1021/jacs.9b03646</w:t>
            </w:r>
          </w:p>
        </w:tc>
        <w:tc>
          <w:tcPr>
            <w:tcW w:type="dxa" w:w="800"/>
            <w:tcBorders>
              <w:top w:val="single" w:color="D1D5DB" w:sz="1"/>
              <w:left w:val="single" w:color="D1D5DB" w:sz="1"/>
              <w:bottom w:val="single" w:color="D1D5DB" w:sz="1"/>
              <w:right w:val="single" w:color="D1D5DB" w:sz="1"/>
            </w:tcBorders>
            <w:shd w:fill="F0FDF4" w:val="clear"/>
            <w:tcMar>
              <w:top w:type="dxa" w:w="70"/>
              <w:left w:type="dxa" w:w="90"/>
              <w:bottom w:type="dxa" w:w="70"/>
              <w:right w:type="dxa" w:w="90"/>
            </w:tcMar>
          </w:tcPr>
          <w:p>
            <w:pPr>
              <w:jc w:val="center"/>
            </w:pPr>
            <w:r>
              <w:rPr>
                <w:rFonts w:ascii="Arial" w:cs="Arial" w:eastAsia="Arial" w:hAnsi="Arial"/>
                <w:b/>
                <w:bCs/>
                <w:color w:val="15803D"/>
                <w:sz w:val="18"/>
                <w:szCs w:val="18"/>
              </w:rPr>
              <w:t xml:space="preserve">Read</w:t>
            </w:r>
          </w:p>
        </w:tc>
      </w:tr>
      <w:tr>
        <w:tc>
          <w:tcPr>
            <w:tcW w:type="dxa" w:w="380"/>
            <w:tcBorders>
              <w:top w:val="single" w:color="D1D5DB" w:sz="1"/>
              <w:left w:val="single" w:color="D1D5DB" w:sz="1"/>
              <w:bottom w:val="single" w:color="D1D5DB" w:sz="1"/>
              <w:right w:val="single" w:color="D1D5DB" w:sz="1"/>
            </w:tcBorders>
            <w:tcMar>
              <w:top w:type="dxa" w:w="70"/>
              <w:left w:type="dxa" w:w="90"/>
              <w:bottom w:type="dxa" w:w="70"/>
              <w:right w:type="dxa" w:w="90"/>
            </w:tcMar>
          </w:tcPr>
          <w:p>
            <w:pPr>
              <w:jc w:val="center"/>
            </w:pPr>
            <w:r>
              <w:rPr>
                <w:rFonts w:ascii="Arial" w:cs="Arial" w:eastAsia="Arial" w:hAnsi="Arial"/>
                <w:b/>
                <w:bCs/>
                <w:color w:val="1a2744"/>
                <w:sz w:val="19"/>
                <w:szCs w:val="19"/>
              </w:rPr>
              <w:t xml:space="preserve">2</w:t>
            </w:r>
          </w:p>
        </w:tc>
        <w:tc>
          <w:tcPr>
            <w:tcW w:type="dxa" w:w="45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after="0" w:before="0"/>
              <w:jc w:val="left"/>
            </w:pPr>
            <w:r>
              <w:rPr>
                <w:rFonts w:ascii="Arial" w:cs="Arial" w:eastAsia="Arial" w:hAnsi="Arial"/>
                <w:b w:val="false"/>
                <w:bCs w:val="false"/>
                <w:i w:val="false"/>
                <w:iCs w:val="false"/>
                <w:color w:val="2d2d2d"/>
                <w:sz w:val="19"/>
                <w:szCs w:val="19"/>
              </w:rPr>
              <w:t xml:space="preserve">Maria-Solano, Kinateder, Iglesias-Fernandez, Sterner, Osuna (2021) In Silico Identification and Experimental Validation of Distal Activity-Enhancing Mutations</w:t>
            </w:r>
          </w:p>
        </w:tc>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after="0" w:before="0"/>
              <w:jc w:val="left"/>
            </w:pPr>
            <w:r>
              <w:rPr>
                <w:rFonts w:ascii="Arial" w:cs="Arial" w:eastAsia="Arial" w:hAnsi="Arial"/>
                <w:b w:val="false"/>
                <w:bCs w:val="false"/>
                <w:i/>
                <w:iCs/>
                <w:color w:val="6B7280"/>
                <w:sz w:val="18"/>
                <w:szCs w:val="18"/>
              </w:rPr>
              <w:t xml:space="preserve">ACS Catal.</w:t>
            </w:r>
          </w:p>
        </w:tc>
        <w:tc>
          <w:tcPr>
            <w:tcW w:type="dxa" w:w="148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after="0" w:before="0"/>
              <w:jc w:val="left"/>
            </w:pPr>
            <w:r>
              <w:rPr>
                <w:rFonts w:ascii="Arial" w:cs="Arial" w:eastAsia="Arial" w:hAnsi="Arial"/>
                <w:b w:val="false"/>
                <w:bCs w:val="false"/>
                <w:i w:val="false"/>
                <w:iCs w:val="false"/>
                <w:color w:val="2563EB"/>
                <w:sz w:val="17"/>
                <w:szCs w:val="17"/>
              </w:rPr>
              <w:t xml:space="preserve">10.1021/acscatal.1c03950</w:t>
            </w:r>
          </w:p>
        </w:tc>
        <w:tc>
          <w:tcPr>
            <w:tcW w:type="dxa" w:w="800"/>
            <w:tcBorders>
              <w:top w:val="single" w:color="D1D5DB" w:sz="1"/>
              <w:left w:val="single" w:color="D1D5DB" w:sz="1"/>
              <w:bottom w:val="single" w:color="D1D5DB" w:sz="1"/>
              <w:right w:val="single" w:color="D1D5DB" w:sz="1"/>
            </w:tcBorders>
            <w:shd w:fill="F0FDF4" w:val="clear"/>
            <w:tcMar>
              <w:top w:type="dxa" w:w="70"/>
              <w:left w:type="dxa" w:w="90"/>
              <w:bottom w:type="dxa" w:w="70"/>
              <w:right w:type="dxa" w:w="90"/>
            </w:tcMar>
          </w:tcPr>
          <w:p>
            <w:pPr>
              <w:jc w:val="center"/>
            </w:pPr>
            <w:r>
              <w:rPr>
                <w:rFonts w:ascii="Arial" w:cs="Arial" w:eastAsia="Arial" w:hAnsi="Arial"/>
                <w:b/>
                <w:bCs/>
                <w:color w:val="15803D"/>
                <w:sz w:val="18"/>
                <w:szCs w:val="18"/>
              </w:rPr>
              <w:t xml:space="preserve">Read</w:t>
            </w:r>
          </w:p>
        </w:tc>
      </w:tr>
      <w:tr>
        <w:tc>
          <w:tcPr>
            <w:tcW w:type="dxa" w:w="380"/>
            <w:tcBorders>
              <w:top w:val="single" w:color="D1D5DB" w:sz="1"/>
              <w:left w:val="single" w:color="D1D5DB" w:sz="1"/>
              <w:bottom w:val="single" w:color="D1D5DB" w:sz="1"/>
              <w:right w:val="single" w:color="D1D5DB" w:sz="1"/>
            </w:tcBorders>
            <w:tcMar>
              <w:top w:type="dxa" w:w="70"/>
              <w:left w:type="dxa" w:w="90"/>
              <w:bottom w:type="dxa" w:w="70"/>
              <w:right w:type="dxa" w:w="90"/>
            </w:tcMar>
          </w:tcPr>
          <w:p>
            <w:pPr>
              <w:jc w:val="center"/>
            </w:pPr>
            <w:r>
              <w:rPr>
                <w:rFonts w:ascii="Arial" w:cs="Arial" w:eastAsia="Arial" w:hAnsi="Arial"/>
                <w:b/>
                <w:bCs/>
                <w:color w:val="1a2744"/>
                <w:sz w:val="19"/>
                <w:szCs w:val="19"/>
              </w:rPr>
              <w:t xml:space="preserve">3</w:t>
            </w:r>
          </w:p>
        </w:tc>
        <w:tc>
          <w:tcPr>
            <w:tcW w:type="dxa" w:w="45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after="0" w:before="0"/>
              <w:jc w:val="left"/>
            </w:pPr>
            <w:r>
              <w:rPr>
                <w:rFonts w:ascii="Arial" w:cs="Arial" w:eastAsia="Arial" w:hAnsi="Arial"/>
                <w:b w:val="false"/>
                <w:bCs w:val="false"/>
                <w:i w:val="false"/>
                <w:iCs w:val="false"/>
                <w:color w:val="2d2d2d"/>
                <w:sz w:val="19"/>
                <w:szCs w:val="19"/>
              </w:rPr>
              <w:t xml:space="preserve">Lambert, Tavakoli, ..., Anandkumar, Arnold (2026) Sequence-based generative AI design of versatile tryptophan synthases</w:t>
            </w:r>
          </w:p>
        </w:tc>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after="0" w:before="0"/>
              <w:jc w:val="left"/>
            </w:pPr>
            <w:r>
              <w:rPr>
                <w:rFonts w:ascii="Arial" w:cs="Arial" w:eastAsia="Arial" w:hAnsi="Arial"/>
                <w:b w:val="false"/>
                <w:bCs w:val="false"/>
                <w:i/>
                <w:iCs/>
                <w:color w:val="6B7280"/>
                <w:sz w:val="18"/>
                <w:szCs w:val="18"/>
              </w:rPr>
              <w:t xml:space="preserve">Nat. Commun.</w:t>
            </w:r>
          </w:p>
        </w:tc>
        <w:tc>
          <w:tcPr>
            <w:tcW w:type="dxa" w:w="148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after="0" w:before="0"/>
              <w:jc w:val="left"/>
            </w:pPr>
            <w:r>
              <w:rPr>
                <w:rFonts w:ascii="Arial" w:cs="Arial" w:eastAsia="Arial" w:hAnsi="Arial"/>
                <w:b w:val="false"/>
                <w:bCs w:val="false"/>
                <w:i w:val="false"/>
                <w:iCs w:val="false"/>
                <w:color w:val="2563EB"/>
                <w:sz w:val="17"/>
                <w:szCs w:val="17"/>
              </w:rPr>
              <w:t xml:space="preserve">10.1038/s41467-026-68384-6</w:t>
            </w:r>
          </w:p>
        </w:tc>
        <w:tc>
          <w:tcPr>
            <w:tcW w:type="dxa" w:w="800"/>
            <w:tcBorders>
              <w:top w:val="single" w:color="D1D5DB" w:sz="1"/>
              <w:left w:val="single" w:color="D1D5DB" w:sz="1"/>
              <w:bottom w:val="single" w:color="D1D5DB" w:sz="1"/>
              <w:right w:val="single" w:color="D1D5DB" w:sz="1"/>
            </w:tcBorders>
            <w:shd w:fill="F0FDF4" w:val="clear"/>
            <w:tcMar>
              <w:top w:type="dxa" w:w="70"/>
              <w:left w:type="dxa" w:w="90"/>
              <w:bottom w:type="dxa" w:w="70"/>
              <w:right w:type="dxa" w:w="90"/>
            </w:tcMar>
          </w:tcPr>
          <w:p>
            <w:pPr>
              <w:jc w:val="center"/>
            </w:pPr>
            <w:r>
              <w:rPr>
                <w:rFonts w:ascii="Arial" w:cs="Arial" w:eastAsia="Arial" w:hAnsi="Arial"/>
                <w:b/>
                <w:bCs/>
                <w:color w:val="15803D"/>
                <w:sz w:val="18"/>
                <w:szCs w:val="18"/>
              </w:rPr>
              <w:t xml:space="preserve">Read</w:t>
            </w:r>
          </w:p>
        </w:tc>
      </w:tr>
      <w:tr>
        <w:tc>
          <w:tcPr>
            <w:tcW w:type="dxa" w:w="380"/>
            <w:tcBorders>
              <w:top w:val="single" w:color="D1D5DB" w:sz="1"/>
              <w:left w:val="single" w:color="D1D5DB" w:sz="1"/>
              <w:bottom w:val="single" w:color="D1D5DB" w:sz="1"/>
              <w:right w:val="single" w:color="D1D5DB" w:sz="1"/>
            </w:tcBorders>
            <w:tcMar>
              <w:top w:type="dxa" w:w="70"/>
              <w:left w:type="dxa" w:w="90"/>
              <w:bottom w:type="dxa" w:w="70"/>
              <w:right w:type="dxa" w:w="90"/>
            </w:tcMar>
          </w:tcPr>
          <w:p>
            <w:pPr>
              <w:jc w:val="center"/>
            </w:pPr>
            <w:r>
              <w:rPr>
                <w:rFonts w:ascii="Arial" w:cs="Arial" w:eastAsia="Arial" w:hAnsi="Arial"/>
                <w:b/>
                <w:bCs/>
                <w:color w:val="1a2744"/>
                <w:sz w:val="19"/>
                <w:szCs w:val="19"/>
              </w:rPr>
              <w:t xml:space="preserve">4</w:t>
            </w:r>
          </w:p>
        </w:tc>
        <w:tc>
          <w:tcPr>
            <w:tcW w:type="dxa" w:w="45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after="0" w:before="0"/>
              <w:jc w:val="left"/>
            </w:pPr>
            <w:r>
              <w:rPr>
                <w:rFonts w:ascii="Arial" w:cs="Arial" w:eastAsia="Arial" w:hAnsi="Arial"/>
                <w:b w:val="false"/>
                <w:bCs w:val="false"/>
                <w:i w:val="false"/>
                <w:iCs w:val="false"/>
                <w:color w:val="2d2d2d"/>
                <w:sz w:val="19"/>
                <w:szCs w:val="19"/>
              </w:rPr>
              <w:t xml:space="preserve">Osuna (2020) The challenge of predicting distal active site mutations in computational enzyme design</w:t>
            </w:r>
          </w:p>
        </w:tc>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after="0" w:before="0"/>
              <w:jc w:val="left"/>
            </w:pPr>
            <w:r>
              <w:rPr>
                <w:rFonts w:ascii="Arial" w:cs="Arial" w:eastAsia="Arial" w:hAnsi="Arial"/>
                <w:b w:val="false"/>
                <w:bCs w:val="false"/>
                <w:i/>
                <w:iCs/>
                <w:color w:val="6B7280"/>
                <w:sz w:val="18"/>
                <w:szCs w:val="18"/>
              </w:rPr>
              <w:t xml:space="preserve">WIREs Comput. Mol. Sci.</w:t>
            </w:r>
          </w:p>
        </w:tc>
        <w:tc>
          <w:tcPr>
            <w:tcW w:type="dxa" w:w="148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after="0" w:before="0"/>
              <w:jc w:val="left"/>
            </w:pPr>
            <w:r>
              <w:rPr>
                <w:rFonts w:ascii="Arial" w:cs="Arial" w:eastAsia="Arial" w:hAnsi="Arial"/>
                <w:b w:val="false"/>
                <w:bCs w:val="false"/>
                <w:i w:val="false"/>
                <w:iCs w:val="false"/>
                <w:color w:val="2563EB"/>
                <w:sz w:val="17"/>
                <w:szCs w:val="17"/>
              </w:rPr>
              <w:t xml:space="preserve">10.1002/wcms.1502</w:t>
            </w:r>
          </w:p>
        </w:tc>
        <w:tc>
          <w:tcPr>
            <w:tcW w:type="dxa" w:w="800"/>
            <w:tcBorders>
              <w:top w:val="single" w:color="D1D5DB" w:sz="1"/>
              <w:left w:val="single" w:color="D1D5DB" w:sz="1"/>
              <w:bottom w:val="single" w:color="D1D5DB" w:sz="1"/>
              <w:right w:val="single" w:color="D1D5DB" w:sz="1"/>
            </w:tcBorders>
            <w:shd w:fill="F9FAFB" w:val="clear"/>
            <w:tcMar>
              <w:top w:type="dxa" w:w="70"/>
              <w:left w:type="dxa" w:w="90"/>
              <w:bottom w:type="dxa" w:w="70"/>
              <w:right w:type="dxa" w:w="90"/>
            </w:tcMar>
          </w:tcPr>
          <w:p>
            <w:pPr>
              <w:jc w:val="center"/>
            </w:pPr>
            <w:r>
              <w:rPr>
                <w:rFonts w:ascii="Arial" w:cs="Arial" w:eastAsia="Arial" w:hAnsi="Arial"/>
                <w:b/>
                <w:bCs/>
                <w:color w:val="6B7280"/>
                <w:sz w:val="18"/>
                <w:szCs w:val="18"/>
              </w:rPr>
              <w:t xml:space="preserve">Queued</w:t>
            </w:r>
          </w:p>
        </w:tc>
      </w:tr>
      <w:tr>
        <w:tc>
          <w:tcPr>
            <w:tcW w:type="dxa" w:w="380"/>
            <w:tcBorders>
              <w:top w:val="single" w:color="D1D5DB" w:sz="1"/>
              <w:left w:val="single" w:color="D1D5DB" w:sz="1"/>
              <w:bottom w:val="single" w:color="D1D5DB" w:sz="1"/>
              <w:right w:val="single" w:color="D1D5DB" w:sz="1"/>
            </w:tcBorders>
            <w:tcMar>
              <w:top w:type="dxa" w:w="70"/>
              <w:left w:type="dxa" w:w="90"/>
              <w:bottom w:type="dxa" w:w="70"/>
              <w:right w:type="dxa" w:w="90"/>
            </w:tcMar>
          </w:tcPr>
          <w:p>
            <w:pPr>
              <w:jc w:val="center"/>
            </w:pPr>
            <w:r>
              <w:rPr>
                <w:rFonts w:ascii="Arial" w:cs="Arial" w:eastAsia="Arial" w:hAnsi="Arial"/>
                <w:b/>
                <w:bCs/>
                <w:color w:val="1a2744"/>
                <w:sz w:val="19"/>
                <w:szCs w:val="19"/>
              </w:rPr>
              <w:t xml:space="preserve">5</w:t>
            </w:r>
          </w:p>
        </w:tc>
        <w:tc>
          <w:tcPr>
            <w:tcW w:type="dxa" w:w="45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after="0" w:before="0"/>
              <w:jc w:val="left"/>
            </w:pPr>
            <w:r>
              <w:rPr>
                <w:rFonts w:ascii="Arial" w:cs="Arial" w:eastAsia="Arial" w:hAnsi="Arial"/>
                <w:b w:val="false"/>
                <w:bCs w:val="false"/>
                <w:i w:val="false"/>
                <w:iCs w:val="false"/>
                <w:color w:val="2d2d2d"/>
                <w:sz w:val="19"/>
                <w:szCs w:val="19"/>
              </w:rPr>
              <w:t xml:space="preserve">Kinateder, ..., Sterner, Osuna (2025) A naturally occurring standalone TrpB</w:t>
            </w:r>
          </w:p>
        </w:tc>
        <w:tc>
          <w:tcPr>
            <w:tcW w:type="dxa" w:w="220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after="0" w:before="0"/>
              <w:jc w:val="left"/>
            </w:pPr>
            <w:r>
              <w:rPr>
                <w:rFonts w:ascii="Arial" w:cs="Arial" w:eastAsia="Arial" w:hAnsi="Arial"/>
                <w:b w:val="false"/>
                <w:bCs w:val="false"/>
                <w:i/>
                <w:iCs/>
                <w:color w:val="6B7280"/>
                <w:sz w:val="18"/>
                <w:szCs w:val="18"/>
              </w:rPr>
              <w:t xml:space="preserve">Protein Sci.</w:t>
            </w:r>
          </w:p>
        </w:tc>
        <w:tc>
          <w:tcPr>
            <w:tcW w:type="dxa" w:w="1480"/>
            <w:tcBorders>
              <w:top w:val="single" w:color="D1D5DB" w:sz="1"/>
              <w:left w:val="single" w:color="D1D5DB" w:sz="1"/>
              <w:bottom w:val="single" w:color="D1D5DB" w:sz="1"/>
              <w:right w:val="single" w:color="D1D5DB" w:sz="1"/>
            </w:tcBorders>
            <w:tcMar>
              <w:top w:type="dxa" w:w="70"/>
              <w:left w:type="dxa" w:w="110"/>
              <w:bottom w:type="dxa" w:w="70"/>
              <w:right w:type="dxa" w:w="110"/>
            </w:tcMar>
          </w:tcPr>
          <w:p>
            <w:pPr>
              <w:spacing w:after="0" w:before="0"/>
              <w:jc w:val="left"/>
            </w:pPr>
            <w:r>
              <w:rPr>
                <w:rFonts w:ascii="Arial" w:cs="Arial" w:eastAsia="Arial" w:hAnsi="Arial"/>
                <w:b w:val="false"/>
                <w:bCs w:val="false"/>
                <w:i w:val="false"/>
                <w:iCs w:val="false"/>
                <w:color w:val="2563EB"/>
                <w:sz w:val="17"/>
                <w:szCs w:val="17"/>
              </w:rPr>
              <w:t xml:space="preserve">10.1002/pro.70103</w:t>
            </w:r>
          </w:p>
        </w:tc>
        <w:tc>
          <w:tcPr>
            <w:tcW w:type="dxa" w:w="800"/>
            <w:tcBorders>
              <w:top w:val="single" w:color="D1D5DB" w:sz="1"/>
              <w:left w:val="single" w:color="D1D5DB" w:sz="1"/>
              <w:bottom w:val="single" w:color="D1D5DB" w:sz="1"/>
              <w:right w:val="single" w:color="D1D5DB" w:sz="1"/>
            </w:tcBorders>
            <w:shd w:fill="F9FAFB" w:val="clear"/>
            <w:tcMar>
              <w:top w:type="dxa" w:w="70"/>
              <w:left w:type="dxa" w:w="90"/>
              <w:bottom w:type="dxa" w:w="70"/>
              <w:right w:type="dxa" w:w="90"/>
            </w:tcMar>
          </w:tcPr>
          <w:p>
            <w:pPr>
              <w:jc w:val="center"/>
            </w:pPr>
            <w:r>
              <w:rPr>
                <w:rFonts w:ascii="Arial" w:cs="Arial" w:eastAsia="Arial" w:hAnsi="Arial"/>
                <w:b/>
                <w:bCs/>
                <w:color w:val="6B7280"/>
                <w:sz w:val="18"/>
                <w:szCs w:val="18"/>
              </w:rPr>
              <w:t xml:space="preserve">Queued</w:t>
            </w:r>
          </w:p>
        </w:tc>
      </w:tr>
    </w:tbl>
    <w:p>
      <w:pPr>
        <w:spacing w:after="140" w:before="0"/>
      </w:pPr>
    </w:p>
    <w:p>
      <w:pPr>
        <w:pBdr>
          <w:bottom w:val="single" w:color="2563EB" w:sz="8" w:space="5"/>
        </w:pBdr>
        <w:spacing w:after="100" w:before="300"/>
      </w:pPr>
      <w:r>
        <w:rPr>
          <w:rFonts w:ascii="Arial" w:cs="Arial" w:eastAsia="Arial" w:hAnsi="Arial"/>
          <w:b/>
          <w:bCs/>
          <w:color w:val="1a2744"/>
          <w:sz w:val="30"/>
          <w:szCs w:val="30"/>
        </w:rPr>
        <w:t xml:space="preserve">2.  What I Learned from These Papers</w:t>
      </w:r>
    </w:p>
    <w:p>
      <w:pPr>
        <w:spacing w:after="30" w:before="0"/>
      </w:pPr>
    </w:p>
    <w:p>
      <w:pPr>
        <w:spacing w:after="70" w:before="180"/>
      </w:pPr>
      <w:r>
        <w:rPr>
          <w:rFonts w:ascii="Arial" w:cs="Arial" w:eastAsia="Arial" w:hAnsi="Arial"/>
          <w:b/>
          <w:bCs/>
          <w:color w:val="2563EB"/>
          <w:sz w:val="24"/>
          <w:szCs w:val="24"/>
        </w:rPr>
        <w:t xml:space="preserve">JACS 2019 (Osuna group)</w:t>
      </w:r>
    </w:p>
    <w:p>
      <w:pPr>
        <w:spacing w:after="90" w:before="90"/>
        <w:jc w:val="left"/>
      </w:pPr>
      <w:r>
        <w:rPr>
          <w:rFonts w:ascii="Arial" w:cs="Arial" w:eastAsia="Arial" w:hAnsi="Arial"/>
          <w:b w:val="false"/>
          <w:bCs w:val="false"/>
          <w:i w:val="false"/>
          <w:iCs w:val="false"/>
          <w:color w:val="2d2d2d"/>
          <w:sz w:val="22"/>
          <w:szCs w:val="22"/>
        </w:rPr>
        <w:t xml:space="preserve">This paper compares three systems using well-tempered MetaDynamics with path collective variables: the PfTrpS complex (TrpA + TrpB together), isolated wild-type PfTrpB, and the laboratory-evolved stand-alone variant PfTrpB0B2 (carrying six distal mutations: P12L, E17G, I68V, F274S, T292S, T321A). For each system, the authors reconstruct the free energy landscape (FEL) of the COMM domain transition between Open (O), Partially Closed (PC), and Closed (C) states at multiple catalytic intermediates (Ain, Aex1, A-A, Q2).</w:t>
      </w:r>
    </w:p>
    <w:p>
      <w:pPr>
        <w:spacing w:after="40" w:before="0"/>
      </w:pPr>
    </w:p>
    <w:p>
      <w:pPr>
        <w:spacing w:after="90" w:before="90"/>
        <w:jc w:val="left"/>
      </w:pPr>
      <w:r>
        <w:rPr>
          <w:rFonts w:ascii="Arial" w:cs="Arial" w:eastAsia="Arial" w:hAnsi="Arial"/>
          <w:b w:val="false"/>
          <w:bCs w:val="false"/>
          <w:i w:val="false"/>
          <w:iCs w:val="false"/>
          <w:color w:val="2d2d2d"/>
          <w:sz w:val="22"/>
          <w:szCs w:val="22"/>
        </w:rPr>
        <w:t xml:space="preserve">The three systems behave very differently. In the PfTrpS complex at the Q2 intermediate, the O and PC states are almost equally stable, and the C state sits ca. 5 kcal/mol higher in energy with a PC-to-C barrier of ca. 6 kcal/mol. The isolated wild-type PfTrpB has a different problem: it has very limited conformational heterogeneity. At Q2, it does reach C-like states, but these are unproductive, deviating more than 1.5 Angstrom from the reference transition path, meaning the COMM domain closes in the wrong geometry. The K82-to-Q2 proton transfer distance in these unproductive states is 3.9 +/- 0.3 Angstrom, longer than the 3.6 +/- 0.3 Angstrom seen in the productive closed state of PfTrpS. By contrast, PfTrpB0B2 recovers full COMM domain heterogeneity (can visit O, PC, and C), and the barrier for the complete O-to-PC-to-C transition at Q2 is only ca. 2 kcal/mol. The C state it reaches is productive, with a K82-Q2 distance and degree of COMM closure comparable to the PfTrpS complex.</w:t>
      </w:r>
    </w:p>
    <w:p>
      <w:pPr>
        <w:spacing w:after="40" w:before="0"/>
      </w:pPr>
    </w:p>
    <w:p>
      <w:pPr>
        <w:spacing w:after="90" w:before="90"/>
        <w:jc w:val="left"/>
      </w:pPr>
      <w:r>
        <w:rPr>
          <w:rFonts w:ascii="Arial" w:cs="Arial" w:eastAsia="Arial" w:hAnsi="Arial"/>
          <w:b w:val="false"/>
          <w:bCs w:val="false"/>
          <w:i w:val="false"/>
          <w:iCs w:val="false"/>
          <w:color w:val="2d2d2d"/>
          <w:sz w:val="22"/>
          <w:szCs w:val="22"/>
        </w:rPr>
        <w:t xml:space="preserve">The paper also applies the Shortest Path Map (SPM) method (developed in Romero-Rivera et al., ACS Catal. 2017) to the PfTrpS(Q2) MetaDynamics trajectory to identify which residues contribute most to the O-to-C conformational exchange. Of the six directed evolution mutations in 0B2, two positions are directly predicted by SPM, three more make persistent non-covalent interactions with SPM-predicted residues, and only one (T321) shows negligible connection. So 5 of 6 directed evolution positions are captured by the SPM analysis.</w:t>
      </w:r>
    </w:p>
    <w:p>
      <w:pPr>
        <w:spacing w:after="80" w:before="0"/>
      </w:pPr>
    </w:p>
    <w:p>
      <w:pPr>
        <w:spacing w:after="70" w:before="180"/>
      </w:pPr>
      <w:r>
        <w:rPr>
          <w:rFonts w:ascii="Arial" w:cs="Arial" w:eastAsia="Arial" w:hAnsi="Arial"/>
          <w:b/>
          <w:bCs/>
          <w:color w:val="2563EB"/>
          <w:sz w:val="24"/>
          <w:szCs w:val="24"/>
        </w:rPr>
        <w:t xml:space="preserve">ACS Catalysis 2021 (Osuna group)</w:t>
      </w:r>
    </w:p>
    <w:p>
      <w:pPr>
        <w:spacing w:after="90" w:before="90"/>
        <w:jc w:val="left"/>
      </w:pPr>
      <w:r>
        <w:rPr>
          <w:rFonts w:ascii="Arial" w:cs="Arial" w:eastAsia="Arial" w:hAnsi="Arial"/>
          <w:b w:val="false"/>
          <w:bCs w:val="false"/>
          <w:i w:val="false"/>
          <w:iCs w:val="false"/>
          <w:color w:val="2d2d2d"/>
          <w:sz w:val="22"/>
          <w:szCs w:val="22"/>
        </w:rPr>
        <w:t xml:space="preserve">This paper extends the 2019 work in two directions. First, it takes the SPM approach further by using it not just to explain known mutations retrospectively, but to prospectively identify new activity-enhancing positions, which are then validated experimentally. Second, it integrates ancestral sequence reconstruction to trace how the COMM domain's conformational landscape changed over evolutionary time, showing that the ancestral enzyme (LBCA-TrpB) already had a partially accessible landscape that later lineages specialized.</w:t>
      </w:r>
    </w:p>
    <w:p>
      <w:pPr>
        <w:spacing w:after="40" w:before="0"/>
      </w:pPr>
    </w:p>
    <w:p>
      <w:pPr>
        <w:spacing w:after="90" w:before="90"/>
        <w:jc w:val="left"/>
      </w:pPr>
      <w:r>
        <w:rPr>
          <w:rFonts w:ascii="Arial" w:cs="Arial" w:eastAsia="Arial" w:hAnsi="Arial"/>
          <w:b w:val="false"/>
          <w:bCs w:val="false"/>
          <w:i w:val="false"/>
          <w:iCs w:val="false"/>
          <w:color w:val="2d2d2d"/>
          <w:sz w:val="22"/>
          <w:szCs w:val="22"/>
        </w:rPr>
        <w:t xml:space="preserve">For my purposes, this paper deepened my understanding of the path collective variable framework. The s-axis tracks progress along the O-to-C transition; the z-axis captures deviation from the reference path connecting the O and C X-ray structures. The z-axis is important because novel conformations not present in any crystal structure show up along z, including the cation-pi intermediate at R159 discovered in the 2019 paper. If D-Trp-relevant active site geometries exist, they would likely appear off the reference path in the z dimension as well.</w:t>
      </w:r>
    </w:p>
    <w:p>
      <w:pPr>
        <w:spacing w:after="80" w:before="0"/>
      </w:pPr>
    </w:p>
    <w:p>
      <w:pPr>
        <w:spacing w:after="70" w:before="180"/>
      </w:pPr>
      <w:r>
        <w:rPr>
          <w:rFonts w:ascii="Arial" w:cs="Arial" w:eastAsia="Arial" w:hAnsi="Arial"/>
          <w:b/>
          <w:bCs/>
          <w:color w:val="2563EB"/>
          <w:sz w:val="24"/>
          <w:szCs w:val="24"/>
        </w:rPr>
        <w:t xml:space="preserve">Nature Communications 2026 (our lab)</w:t>
      </w:r>
    </w:p>
    <w:p>
      <w:pPr>
        <w:spacing w:after="90" w:before="90"/>
        <w:jc w:val="left"/>
      </w:pPr>
      <w:r>
        <w:rPr>
          <w:rFonts w:ascii="Arial" w:cs="Arial" w:eastAsia="Arial" w:hAnsi="Arial"/>
          <w:b w:val="false"/>
          <w:bCs w:val="false"/>
          <w:i w:val="false"/>
          <w:iCs w:val="false"/>
          <w:color w:val="2d2d2d"/>
          <w:sz w:val="22"/>
          <w:szCs w:val="22"/>
        </w:rPr>
        <w:t xml:space="preserve">This paper describes the generative pipeline I am trying to connect MetaDynamics to. GenSLM, a codon-level protein language model with 25M parameters, was fine-tuned on a curated dataset of 30,000 unique trpB nucleotide sequences from BV-BRC and used to generate candidate sequences at varying levels of sequence identity to known TrpBs. After filtering by length and pLDDT, 105 representative sequences were selected (30 at 80-90% MaxID, 40 at 70-80%, 20 at 60-70%, 10 at 50-60%, 5 at 40-50%). Of those, 11 showed activity clearly above background at room temperature. GenSLM-230 stood out by being active on all seven non-canonical substrates tested and outperforming PfTrpB-0B2 in native tryptophan synthesis at both room temperature and 75 degrees Celsius.</w:t>
      </w:r>
    </w:p>
    <w:p>
      <w:pPr>
        <w:spacing w:after="40" w:before="0"/>
      </w:pPr>
    </w:p>
    <w:p>
      <w:pPr>
        <w:spacing w:after="90" w:before="90"/>
        <w:jc w:val="left"/>
      </w:pPr>
      <w:r>
        <w:rPr>
          <w:rFonts w:ascii="Arial" w:cs="Arial" w:eastAsia="Arial" w:hAnsi="Arial"/>
          <w:b w:val="false"/>
          <w:bCs w:val="false"/>
          <w:i w:val="false"/>
          <w:iCs w:val="false"/>
          <w:color w:val="2d2d2d"/>
          <w:sz w:val="22"/>
          <w:szCs w:val="22"/>
        </w:rPr>
        <w:t xml:space="preserve">The observation that matters most to me is the comparison between GenSLM-230 and its closest natural homolog NdTrpB (80.5% sequence identity). AlphaFold3 predicts essentially identical backbone structures (RMSD of 0.36 Angstrom), yet their functional profiles are completely different: 230 is active on all tested non-canonical substrates while NdTrpB shows negligible activity on most. This divergence, despite near-identical predicted structures, strongly suggests that differences beyond static fold, potentially in conformational dynamics and the relative populations of Open, Partially Closed, and Closed COMM domain states, are important for function. MetaDynamics is specifically designed to resolve these kinds of differences.</w:t>
      </w:r>
    </w:p>
    <w:p>
      <w:pPr>
        <w:spacing w:after="40" w:before="0"/>
      </w:pPr>
    </w:p>
    <w:p>
      <w:pPr>
        <w:spacing w:after="90" w:before="90"/>
        <w:jc w:val="left"/>
      </w:pPr>
      <w:r>
        <w:rPr>
          <w:rFonts w:ascii="Arial" w:cs="Arial" w:eastAsia="Arial" w:hAnsi="Arial"/>
          <w:b w:val="false"/>
          <w:bCs w:val="false"/>
          <w:i w:val="false"/>
          <w:iCs w:val="false"/>
          <w:color w:val="2d2d2d"/>
          <w:sz w:val="22"/>
          <w:szCs w:val="22"/>
        </w:rPr>
        <w:t xml:space="preserve">The paper also explicitly notes that more physics-informed filters, including docking and thermostability filtering, were initially explored but ultimately not employed to avoid introducing biases that might narrow the diversity of the library. Filters were intentionally kept permissive. This represents a deliberate gap. My project is asking whether a physics-based conformational filter, specifically targeting D-Trp selectivity, can be added back to the pipeline in a principled way.</w:t>
      </w:r>
    </w:p>
    <w:p>
      <w:pPr>
        <w:spacing w:after="140" w:before="0"/>
      </w:pPr>
    </w:p>
    <w:p>
      <w:pPr>
        <w:pBdr>
          <w:bottom w:val="single" w:color="2563EB" w:sz="8" w:space="5"/>
        </w:pBdr>
        <w:spacing w:after="100" w:before="300"/>
      </w:pPr>
      <w:r>
        <w:rPr>
          <w:rFonts w:ascii="Arial" w:cs="Arial" w:eastAsia="Arial" w:hAnsi="Arial"/>
          <w:b/>
          <w:bCs/>
          <w:color w:val="1a2744"/>
          <w:sz w:val="30"/>
          <w:szCs w:val="30"/>
        </w:rPr>
        <w:t xml:space="preserve">3.  Points I Am Still Uncertain About</w:t>
      </w:r>
    </w:p>
    <w:p>
      <w:pPr>
        <w:spacing w:after="30" w:before="0"/>
      </w:pPr>
    </w:p>
    <w:p>
      <w:pPr>
        <w:spacing w:after="90" w:before="90"/>
        <w:jc w:val="left"/>
      </w:pPr>
      <w:r>
        <w:rPr>
          <w:rFonts w:ascii="Arial" w:cs="Arial" w:eastAsia="Arial" w:hAnsi="Arial"/>
          <w:b w:val="false"/>
          <w:bCs w:val="false"/>
          <w:i w:val="false"/>
          <w:iCs w:val="false"/>
          <w:color w:val="2d2d2d"/>
          <w:sz w:val="22"/>
          <w:szCs w:val="22"/>
        </w:rPr>
        <w:t xml:space="preserve">The biggest gap is how to define D-tryptophan selectivity as a measurable conformational property. The Osuna papers give clear structural metrics for L-Trp activity: deviation from the reference O-to-C transition path (where &gt; 1.5 Angstrom indicates unproductive closure) and the K82-to-intermediate proton transfer distance (productive at 3.6 Angstrom or below). For D-Trp, the corresponding metric would need to capture whether the active site geometry supports the opposite facial approach of indole to the aminoacrylate intermediate, since the face of approach determines product chirality. I do not yet know which geometric quantity to track in a simulation trajectory for this, and I have not found a published precedent for TrpB specifically.</w:t>
      </w:r>
    </w:p>
    <w:p>
      <w:pPr>
        <w:spacing w:after="60" w:before="0"/>
      </w:pPr>
    </w:p>
    <w:p>
      <w:pPr>
        <w:spacing w:after="90" w:before="90"/>
        <w:jc w:val="left"/>
      </w:pPr>
      <w:r>
        <w:rPr>
          <w:rFonts w:ascii="Arial" w:cs="Arial" w:eastAsia="Arial" w:hAnsi="Arial"/>
          <w:b w:val="false"/>
          <w:bCs w:val="false"/>
          <w:i w:val="false"/>
          <w:iCs w:val="false"/>
          <w:color w:val="2d2d2d"/>
          <w:sz w:val="22"/>
          <w:szCs w:val="22"/>
        </w:rPr>
        <w:t xml:space="preserve">I am also uncertain whether to start by reproducing a published MetaDynamics result as a validation step before moving to new sequences. Reproducing the PfTrpB wild-type or 0B2 FEL from the 2019 paper would confirm my setup is correct, but it adds time before I can work on anything new.</w:t>
      </w:r>
    </w:p>
    <w:p>
      <w:pPr>
        <w:spacing w:after="140" w:before="0"/>
      </w:pPr>
    </w:p>
    <w:p>
      <w:pPr>
        <w:pBdr>
          <w:bottom w:val="single" w:color="2563EB" w:sz="8" w:space="5"/>
        </w:pBdr>
        <w:spacing w:after="100" w:before="300"/>
      </w:pPr>
      <w:r>
        <w:rPr>
          <w:rFonts w:ascii="Arial" w:cs="Arial" w:eastAsia="Arial" w:hAnsi="Arial"/>
          <w:b/>
          <w:bCs/>
          <w:color w:val="1a2744"/>
          <w:sz w:val="30"/>
          <w:szCs w:val="30"/>
        </w:rPr>
        <w:t xml:space="preserve">4.  Potential Directions and Plan for Next Week</w:t>
      </w:r>
    </w:p>
    <w:p>
      <w:pPr>
        <w:spacing w:after="30" w:before="0"/>
      </w:pPr>
    </w:p>
    <w:p>
      <w:pPr>
        <w:spacing w:after="90" w:before="90"/>
        <w:jc w:val="left"/>
      </w:pPr>
      <w:r>
        <w:rPr>
          <w:rFonts w:ascii="Arial" w:cs="Arial" w:eastAsia="Arial" w:hAnsi="Arial"/>
          <w:b w:val="false"/>
          <w:bCs w:val="false"/>
          <w:i w:val="false"/>
          <w:iCs w:val="false"/>
          <w:color w:val="2d2d2d"/>
          <w:sz w:val="22"/>
          <w:szCs w:val="22"/>
        </w:rPr>
        <w:t xml:space="preserve">After reading these papers, I see a few possible directions for how MetaDynamics could contribute. I want to lay them out here and get your input on which to prioritize.</w:t>
      </w:r>
    </w:p>
    <w:p>
      <w:pPr>
        <w:spacing w:after="60" w:before="0"/>
      </w:pPr>
    </w:p>
    <w:p>
      <w:pPr>
        <w:spacing w:after="70" w:before="180"/>
      </w:pPr>
      <w:r>
        <w:rPr>
          <w:rFonts w:ascii="Arial" w:cs="Arial" w:eastAsia="Arial" w:hAnsi="Arial"/>
          <w:b/>
          <w:bCs/>
          <w:color w:val="2563EB"/>
          <w:sz w:val="24"/>
          <w:szCs w:val="24"/>
        </w:rPr>
        <w:t xml:space="preserve">Direction A: Explain the GenSLM-230 vs NdTrpB functional divergence</w:t>
      </w:r>
    </w:p>
    <w:p>
      <w:pPr>
        <w:spacing w:after="90" w:before="90"/>
        <w:jc w:val="left"/>
      </w:pPr>
      <w:r>
        <w:rPr>
          <w:rFonts w:ascii="Arial" w:cs="Arial" w:eastAsia="Arial" w:hAnsi="Arial"/>
          <w:b w:val="false"/>
          <w:bCs w:val="false"/>
          <w:i w:val="false"/>
          <w:iCs w:val="false"/>
          <w:color w:val="2d2d2d"/>
          <w:sz w:val="22"/>
          <w:szCs w:val="22"/>
        </w:rPr>
        <w:t xml:space="preserve">The most immediately testable question is why 230 and NdTrpB have nearly identical predicted structures but dramatically different activity profiles. Running MetaDynamics on both and comparing their COMM domain free energy landscapes could directly test whether 230 has a lower O-to-C barrier or a higher population of productive Closed states. If it does, that provides a mechanistic explanation that static structure prediction cannot, and serves as a proof of concept that MetaDynamics captures functionally relevant differences between sequences that look structurally identical.</w:t>
      </w:r>
    </w:p>
    <w:p>
      <w:pPr>
        <w:spacing w:after="60" w:before="0"/>
      </w:pPr>
    </w:p>
    <w:p>
      <w:pPr>
        <w:spacing w:after="70" w:before="180"/>
      </w:pPr>
      <w:r>
        <w:rPr>
          <w:rFonts w:ascii="Arial" w:cs="Arial" w:eastAsia="Arial" w:hAnsi="Arial"/>
          <w:b/>
          <w:bCs/>
          <w:color w:val="2563EB"/>
          <w:sz w:val="24"/>
          <w:szCs w:val="24"/>
        </w:rPr>
        <w:t xml:space="preserve">Direction B: MetaDynamics as a physics-based filter for D-Trp selectivity</w:t>
      </w:r>
    </w:p>
    <w:p>
      <w:pPr>
        <w:spacing w:after="90" w:before="90"/>
        <w:jc w:val="left"/>
      </w:pPr>
      <w:r>
        <w:rPr>
          <w:rFonts w:ascii="Arial" w:cs="Arial" w:eastAsia="Arial" w:hAnsi="Arial"/>
          <w:b w:val="false"/>
          <w:bCs w:val="false"/>
          <w:i w:val="false"/>
          <w:iCs w:val="false"/>
          <w:color w:val="2d2d2d"/>
          <w:sz w:val="22"/>
          <w:szCs w:val="22"/>
        </w:rPr>
        <w:t xml:space="preserve">The longer-term goal is to use MetaDynamics to evaluate whether a generated sequence has the right conformational landscape for D-tryptophan synthesis. This requires solving two sub-problems: defining a geometric criterion for opposite-face indole approach that can be measured in a simulation trajectory, and characterizing what a D-Trp-favorable free energy landscape would look like. There is no published benchmark for this in TrpB, which makes it high-risk but also genuinely novel.</w:t>
      </w:r>
    </w:p>
    <w:p>
      <w:pPr>
        <w:spacing w:after="60" w:before="0"/>
      </w:pPr>
    </w:p>
    <w:p>
      <w:pPr>
        <w:spacing w:after="70" w:before="180"/>
      </w:pPr>
      <w:r>
        <w:rPr>
          <w:rFonts w:ascii="Arial" w:cs="Arial" w:eastAsia="Arial" w:hAnsi="Arial"/>
          <w:b/>
          <w:bCs/>
          <w:color w:val="2563EB"/>
          <w:sz w:val="24"/>
          <w:szCs w:val="24"/>
        </w:rPr>
        <w:t xml:space="preserve">Direction C: Fast surrogate from MetaDynamics data (longer-term)</w:t>
      </w:r>
    </w:p>
    <w:p>
      <w:pPr>
        <w:spacing w:after="90" w:before="90"/>
        <w:jc w:val="left"/>
      </w:pPr>
      <w:r>
        <w:rPr>
          <w:rFonts w:ascii="Arial" w:cs="Arial" w:eastAsia="Arial" w:hAnsi="Arial"/>
          <w:b w:val="false"/>
          <w:bCs w:val="false"/>
          <w:i w:val="false"/>
          <w:iCs w:val="false"/>
          <w:color w:val="2d2d2d"/>
          <w:sz w:val="22"/>
          <w:szCs w:val="22"/>
        </w:rPr>
        <w:t xml:space="preserve">Once Directions A and B produce enough simulation data, it may be possible to train a lightweight surrogate model that predicts conformational properties directly from sequence, so the physics-based score can be applied to large candidate libraries without the computational cost of full MetaDynamics. This direction only becomes relevant after the first two are further along.</w:t>
      </w:r>
    </w:p>
    <w:p>
      <w:pPr>
        <w:spacing w:after="80" w:before="0"/>
      </w:pPr>
    </w:p>
    <w:p>
      <w:pPr>
        <w:spacing w:after="70" w:before="180"/>
      </w:pPr>
      <w:r>
        <w:rPr>
          <w:rFonts w:ascii="Arial" w:cs="Arial" w:eastAsia="Arial" w:hAnsi="Arial"/>
          <w:b/>
          <w:bCs/>
          <w:color w:val="2563EB"/>
          <w:sz w:val="24"/>
          <w:szCs w:val="24"/>
        </w:rPr>
        <w:t xml:space="preserve">What I plan to do next week</w:t>
      </w:r>
    </w:p>
    <w:p>
      <w:pPr>
        <w:spacing w:after="90" w:before="90"/>
        <w:jc w:val="left"/>
      </w:pPr>
      <w:r>
        <w:rPr>
          <w:rFonts w:ascii="Arial" w:cs="Arial" w:eastAsia="Arial" w:hAnsi="Arial"/>
          <w:b w:val="false"/>
          <w:bCs w:val="false"/>
          <w:i w:val="false"/>
          <w:iCs w:val="false"/>
          <w:color w:val="2d2d2d"/>
          <w:sz w:val="22"/>
          <w:szCs w:val="22"/>
        </w:rPr>
        <w:t xml:space="preserve">First, finish reading the two queued papers: Osuna's 2020 WIREs review on predicting distal mutations, and the 2025 Protein Science paper on a naturally occurring standalone TrpB. Both should deepen my understanding of the allosteric framework.</w:t>
      </w:r>
    </w:p>
    <w:p>
      <w:pPr>
        <w:spacing w:after="40" w:before="0"/>
      </w:pPr>
    </w:p>
    <w:p>
      <w:pPr>
        <w:spacing w:after="90" w:before="90"/>
        <w:jc w:val="left"/>
      </w:pPr>
      <w:r>
        <w:rPr>
          <w:rFonts w:ascii="Arial" w:cs="Arial" w:eastAsia="Arial" w:hAnsi="Arial"/>
          <w:b w:val="false"/>
          <w:bCs w:val="false"/>
          <w:i w:val="false"/>
          <w:iCs w:val="false"/>
          <w:color w:val="2d2d2d"/>
          <w:sz w:val="22"/>
          <w:szCs w:val="22"/>
        </w:rPr>
        <w:t xml:space="preserve">Second, start setting up an AMBER + PLUMED environment and aim to complete a short test run on a published system to verify the setup is working.</w:t>
      </w:r>
    </w:p>
    <w:p>
      <w:pPr>
        <w:spacing w:after="40" w:before="0"/>
      </w:pPr>
    </w:p>
    <w:p>
      <w:pPr>
        <w:spacing w:after="90" w:before="90"/>
        <w:jc w:val="left"/>
      </w:pPr>
      <w:r>
        <w:rPr>
          <w:rFonts w:ascii="Arial" w:cs="Arial" w:eastAsia="Arial" w:hAnsi="Arial"/>
          <w:b w:val="false"/>
          <w:bCs w:val="false"/>
          <w:i w:val="false"/>
          <w:iCs w:val="false"/>
          <w:color w:val="2d2d2d"/>
          <w:sz w:val="22"/>
          <w:szCs w:val="22"/>
        </w:rPr>
        <w:t xml:space="preserve">Third, spend time looking at the PfTrpB Closed-state crystal structure to think through, at a geometric level, what a collective variable for D-Trp facial selectivity might look like. I would like to have a concrete proposal to discuss before starting any new simulation.</w:t>
      </w:r>
    </w:p>
    <w:p>
      <w:pPr>
        <w:spacing w:after="180" w:before="0"/>
      </w:pPr>
    </w:p>
    <w:p>
      <w:pPr>
        <w:pBdr>
          <w:top w:val="single" w:color="E5E7EB" w:sz="4" w:space="5"/>
        </w:pBdr>
        <w:spacing w:after="60" w:before="0"/>
      </w:pPr>
      <w:r>
        <w:rPr>
          <w:rFonts w:ascii="Arial" w:cs="Arial" w:eastAsia="Arial" w:hAnsi="Arial"/>
          <w:i/>
          <w:iCs/>
          <w:color w:val="6B7280"/>
          <w:sz w:val="21"/>
          <w:szCs w:val="21"/>
        </w:rPr>
        <w:t xml:space="preserve">I would really appreciate your thoughts on which direction to prioritize. Happy to discuss any of this in our next meeting.</w:t>
      </w:r>
    </w:p>
    <w:p>
      <w:pPr>
        <w:spacing w:after="60" w:before="0"/>
      </w:pPr>
    </w:p>
    <w:p>
      <w:pPr>
        <w:spacing w:after="20" w:before="0"/>
        <w:jc w:val="left"/>
      </w:pPr>
      <w:r>
        <w:rPr>
          <w:rFonts w:ascii="Arial" w:cs="Arial" w:eastAsia="Arial" w:hAnsi="Arial"/>
          <w:b/>
          <w:bCs/>
          <w:i w:val="false"/>
          <w:iCs w:val="false"/>
          <w:color w:val="2d2d2d"/>
          <w:sz w:val="22"/>
          <w:szCs w:val="22"/>
        </w:rPr>
        <w:t xml:space="preserve">Zhenpeng Liu</w:t>
      </w:r>
    </w:p>
    <w:p>
      <w:pPr>
        <w:spacing w:after="0" w:before="0"/>
        <w:jc w:val="left"/>
      </w:pPr>
      <w:r>
        <w:rPr>
          <w:rFonts w:ascii="Arial" w:cs="Arial" w:eastAsia="Arial" w:hAnsi="Arial"/>
          <w:b w:val="false"/>
          <w:bCs w:val="false"/>
          <w:i w:val="false"/>
          <w:iCs w:val="false"/>
          <w:color w:val="6B7280"/>
          <w:sz w:val="20"/>
          <w:szCs w:val="20"/>
        </w:rPr>
        <w:t xml:space="preserve">liualex@ad.unc.edu  |  aNima Lab, Caltech</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2026-03-22T02:07:57.130Z</dcterms:created>
  <dcterms:modified xsi:type="dcterms:W3CDTF">2026-03-22T02:07:57.132Z</dcterms:modified>
</cp:coreProperties>
</file>

<file path=docProps/custom.xml><?xml version="1.0" encoding="utf-8"?>
<Properties xmlns="http://schemas.openxmlformats.org/officeDocument/2006/custom-properties" xmlns:vt="http://schemas.openxmlformats.org/officeDocument/2006/docPropsVTypes"/>
</file>