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Path realignment unblocks Initial pilot, 10-walker production launched, MetaD-to-GenSLM staged plan drafted</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MetaDynamics output to score / fine-tune GenSLM</w:t>
      </w:r>
    </w:p>
    <w:p>
      <w:pPr>
        <w:spacing w:after="120"/>
      </w:pPr>
      <w:r>
        <w:rPr>
          <w:rFonts w:ascii="Arial" w:cs="Arial" w:eastAsia="Arial" w:hAnsi="Arial"/>
          <w:b w:val="false"/>
          <w:bCs w:val="false"/>
          <w:i w:val="false"/>
          <w:iCs w:val="false"/>
          <w:color w:val="000000"/>
          <w:sz w:val="22"/>
          <w:szCs w:val="22"/>
        </w:rPr>
        <w:t xml:space="preserve">Phase 3: Build reward function for design loop (V2)</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The flagship result this week is that the Initial pilot finally ran correctly under the author-supplied parameters (HEIGHT=0.3 kcal/mol fallback contract, BIASFACTOR=15) for 24 ns and reached max_s=14.05 along the open-to-closed path coordinate. Before this week, the same pilot was stuck at s less than 1.9 over 17 ns despite identical engine settings.</w:t>
      </w:r>
    </w:p>
    <w:p>
      <w:pPr>
        <w:spacing w:after="120"/>
      </w:pPr>
      <w:r>
        <w:rPr>
          <w:rFonts w:ascii="Arial" w:cs="Arial" w:eastAsia="Arial" w:hAnsi="Arial"/>
          <w:b w:val="false"/>
          <w:bCs w:val="false"/>
          <w:i w:val="false"/>
          <w:iCs w:val="false"/>
          <w:color w:val="000000"/>
          <w:sz w:val="22"/>
          <w:szCs w:val="22"/>
        </w:rPr>
        <w:t xml:space="preserve">The unblock came from rebuilding the reference path with a proper sequence alignment between the two source structures. The published protocol uses two different species in the same path: 1WDW (P. furiosus TrpB) is the only available high-resolution open-state crystal, and 3CEP (S. typhimurium TrpB) is the only available high-resolution closed-state crystal — there is no single-species crystal pair that covers both endpoints, so the path is necessarily inter-species. The two β-subunits are not the same length: 3CEP carries five extra N-terminal residues (a vestigial signal-peptide region of the bacterial enzyme that the archaeal enzyme does not have). My original path-builder paired residues by raw residue number, so 1WDW residue 97 was paired with 3CEP residue 97 instead of 3CEP residue 102. Across the 112 selected COMM-domain Cα positions this matched non-homologous residues; sequence identity dropped to 6.2 percent and the open-to-closed RMSD inflated to 10.89 Å. The Branduardi formula λ = 2.3 / mean adjacent MSD then collapsed λ to 3.80 inverse Å, about 21 times below what the SI implies. After a Needleman-Wunsch realignment recovered the uniform +5 residue-number offset, sequence identity climbed to 59.0 percent, RMSD fell to 2.115 Å, and λ settled at 100.79 inverse Å on the realigned path. The pilot then unlocked, and the canonical Initial pilot 24 ns FES (Figure 2) is now in hand.</w:t>
      </w:r>
    </w:p>
    <w:p>
      <w:pPr>
        <w:spacing w:after="120"/>
      </w:pPr>
      <w:r>
        <w:rPr>
          <w:rFonts w:ascii="Arial" w:cs="Arial" w:eastAsia="Arial" w:hAnsi="Arial"/>
          <w:b w:val="false"/>
          <w:bCs w:val="false"/>
          <w:i w:val="false"/>
          <w:iCs w:val="false"/>
          <w:color w:val="000000"/>
          <w:sz w:val="22"/>
          <w:szCs w:val="22"/>
        </w:rPr>
        <w:t xml:space="preserve">Building on the unblocked Initial pilot, I picked 10 starting frames spread across the realigned path coordinate by reading the Initial pilot COLVAR and selecting frames that minimized off-path deviation inside ten target s-windows. I launched the 10-walker production array under Miguel's primary contract (HEIGHT=0.15, BIASFACTOR=10, shared HILLS) as SLURM 45784112; the smoke test passed all 10 walkers, and the array has been running for around five hours. I have observed some LINCS warnings appearing mid-run on a subset of walkers and will spend next week debugging that signature.</w:t>
      </w:r>
    </w:p>
    <w:p>
      <w:pPr>
        <w:spacing w:after="120"/>
      </w:pPr>
      <w:r>
        <w:rPr>
          <w:rFonts w:ascii="Arial" w:cs="Arial" w:eastAsia="Arial" w:hAnsi="Arial"/>
          <w:b w:val="false"/>
          <w:bCs w:val="false"/>
          <w:i w:val="false"/>
          <w:iCs w:val="false"/>
          <w:color w:val="000000"/>
          <w:sz w:val="22"/>
          <w:szCs w:val="22"/>
        </w:rPr>
        <w:t xml:space="preserve">The other major block of work was drafting the MetaDynamics-to-GenSLM outer layer in Section 2.4. I plan to walk Prof. Anandkumar through the staged plan, the activity-proxy decision, and the transition-state data integration question in a short feasibility meeting next week before committing to Stage 1 implementation.</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v1 10-walker scancel: homogeneous-start failure (FP-030)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v2 10-walker exit-139: LINCS atoms 4463 to 4465 plus missing velocity initialization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v3 3-stage flow: EM 1000 steps, then NVT 100 ps PLUMED-off, then MetaD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Drafted a staged MetaDynamics-to-GenSLM adjustment plan indexed by labeled-pair count (small N: ranking head over GenSLM embeddings; medium N: activation steering on the residual stream; large N: PiSSA adapter with DoRA / LoRA+ ablations or GRPO RL); see Section 2.4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Ran 8 rounds of cross-audit plus 1 independent second-pass on the outer-layer design (peer-review pass and a separate independent reviewer)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two figures for the report: latest Initial pilot 24 ns FES with proper RMSD axis units, and the before-vs-after path realignment trajectory</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The reference path needed re-aligning before the Initial pilot would explore</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The reason the path is necessarily inter-species is that 1WDW is the only available high-resolution open-state TrpB crystal in the PDB and 3CEP is the only available high-resolution closed-state TrpB crystal; no single species has crystals of both endpoints.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While re-validating the path setup I also re-confirmed that the path-CV uses ADAPTIVE=DIFF (the differential sigma scheme that adapts based on local differences between adjacent path frames), not GEOM as I had earlier mis-read from the SI. The DIFF reading is the one that comes back consistently from a clean SI re-read and from the author email. I propagated the correction across the parameter-provenance docs (PARAMETER_PROVENANCE.md, JACS2019_MetaDynamics_Parameters.md) so the GEOM mis-read does not resurface in tutorials.</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v3 design and why three stages were needed</w:t>
      </w:r>
    </w:p>
    <w:p>
      <w:pPr>
        <w:spacing w:after="120"/>
      </w:pPr>
      <w:r>
        <w:rPr>
          <w:rFonts w:ascii="Arial" w:cs="Arial" w:eastAsia="Arial" w:hAnsi="Arial"/>
          <w:b w:val="false"/>
          <w:bCs w:val="false"/>
          <w:i w:val="false"/>
          <w:iCs w:val="false"/>
          <w:color w:val="000000"/>
          <w:sz w:val="22"/>
          <w:szCs w:val="22"/>
        </w:rPr>
        <w:t xml:space="preserve">The v2 10-walker run launched directly from coordinate-only start.gro files with continuation=no, gen_vel=yes, and PLUMED biasing turned on at the same time. All 10 walkers crashed inside 12 minutes with LINCS bond-stress on atoms 4463 through 4465. The root cause is that PLUMED started depositing path-CV bias before the velocities had Maxwell-Boltzmann thermalized at 350 K.</w:t>
      </w:r>
    </w:p>
    <w:p>
      <w:pPr>
        <w:spacing w:after="120"/>
      </w:pPr>
      <w:r>
        <w:rPr>
          <w:rFonts w:ascii="Arial" w:cs="Arial" w:eastAsia="Arial" w:hAnsi="Arial"/>
          <w:b w:val="false"/>
          <w:bCs w:val="false"/>
          <w:i w:val="false"/>
          <w:iCs w:val="false"/>
          <w:color w:val="000000"/>
          <w:sz w:val="22"/>
          <w:szCs w:val="22"/>
        </w:rPr>
        <w:t xml:space="preserve">Bond-stressed atoms cannot satisfy LINCS constraints under sudden bias and the integrator gives up with exit code 139.</w:t>
      </w:r>
    </w:p>
    <w:p>
      <w:pPr>
        <w:spacing w:after="120"/>
      </w:pPr>
      <w:r>
        <w:rPr>
          <w:rFonts w:ascii="Arial" w:cs="Arial" w:eastAsia="Arial" w:hAnsi="Arial"/>
          <w:b w:val="false"/>
          <w:bCs w:val="false"/>
          <w:i w:val="false"/>
          <w:iCs w:val="false"/>
          <w:color w:val="000000"/>
          <w:sz w:val="22"/>
          <w:szCs w:val="22"/>
        </w:rPr>
        <w:t xml:space="preserve">The v3 design splits the walker startup into three stages. Stage 1 is energy minimization for 1000 steps with PLUMED off. Stage 2 is NVT for 100 ps with PLUMED still off and gen_vel=yes, which initializes velocities at 350 K. Stage 3 is MetaDynamics with continuation=yes so that the velocities and box from nvt.cpt are inherited. PLUMED turns on for the first time at this stage.</w:t>
      </w:r>
    </w:p>
    <w:p>
      <w:pPr>
        <w:spacing w:after="120"/>
      </w:pPr>
      <w:r>
        <w:rPr>
          <w:rFonts w:ascii="Arial" w:cs="Arial" w:eastAsia="Arial" w:hAnsi="Arial"/>
          <w:b w:val="false"/>
          <w:bCs w:val="false"/>
          <w:i w:val="false"/>
          <w:iCs w:val="false"/>
          <w:color w:val="000000"/>
          <w:sz w:val="22"/>
          <w:szCs w:val="22"/>
        </w:rPr>
        <w:t xml:space="preserve">The smoke test (SLURM 45783311) ran 10 walkers for 1000+1000+1000 steps as a 30-minute sanity check. All 10 walkers passed: EM Maximum force in the range 938 to 986 kJ/mol/nm, 0 LINCS warnings, 0 atoms 4463 to 4465 errors, HILLS deposited at 1 hill per 2 ps, and 0 exit code 139. The production array launched immediately after the smoke pass.</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staged adjustment plan, indexed by data volume. GenSLM-25M is built and maintained by another lab member; my contribution is the rule for how the MetaDynamics-derived reward attaches to it. I want to propose a staged plan whose stage is decided by the size of the labeled (sequence, MetaDynamics-output) pair set, not by method preference. Every stage is conditional, in the sense that we only run a method whose statistical defensibility matches the available data budget.</w:t>
      </w:r>
    </w:p>
    <w:p>
      <w:pPr>
        <w:spacing w:after="120"/>
      </w:pPr>
      <w:r>
        <w:rPr>
          <w:rFonts w:ascii="Arial" w:cs="Arial" w:eastAsia="Arial" w:hAnsi="Arial"/>
          <w:b w:val="false"/>
          <w:bCs w:val="false"/>
          <w:i w:val="false"/>
          <w:iCs w:val="false"/>
          <w:color w:val="000000"/>
          <w:sz w:val="22"/>
          <w:szCs w:val="22"/>
        </w:rPr>
        <w:t xml:space="preserve">Stage 1, small N on the order of 30 to 50 pairs (where I am now). Keep GenSLM weights and activations frozen. Sample N candidate sequences from GenSLM, score each one with a ranking head (ridge regression or a Gaussian-process surrogate) trained on the labeled set in GenSLM's own embedding space, and ship the top-K to wet lab. The closest small-N protein-LM TrpB benchmark in the literature is SGPO (Yang et al., NeurIPS 2025; arXiv:2505.15093), which uses classifier-guided posterior sampling on a discrete-diffusion protein language model rather than a regression head over an autoregressive model. GenSLM is autoregressive, so my Stage 1 is the classical Bayesian-optimization-over-PLM-embeddings analogue of SGPO; the same small-N feasibility argument applies. No reinforcement learning, no weight updates.</w:t>
      </w:r>
    </w:p>
    <w:p>
      <w:pPr>
        <w:spacing w:after="120"/>
      </w:pPr>
      <w:r>
        <w:rPr>
          <w:rFonts w:ascii="Arial" w:cs="Arial" w:eastAsia="Arial" w:hAnsi="Arial"/>
          <w:b w:val="false"/>
          <w:bCs w:val="false"/>
          <w:i w:val="false"/>
          <w:iCs w:val="false"/>
          <w:color w:val="000000"/>
          <w:sz w:val="22"/>
          <w:szCs w:val="22"/>
        </w:rPr>
        <w:t xml:space="preserve">Stage 2, medium N on the order of 500 pairs (after one or two active-learning rounds). Switch from re-ranking-only to steering at generation time. Train a contrastive direction in GenSLM's hidden-state space (Turner et al. 2023 activation engineering; Zou et al. 2023 representation engineering), then add it to the residual stream during sampling so the generator probabilistically prefers high-reward sequences. GenSLM weights still stay frozen; the only learned object is one direction vector per layer (on the order of d_model floats per layer). The robustness property I want at this stage is that the steering can be turned off at inference time by zeroing the direction, recovering the original GenSLM.</w:t>
      </w:r>
    </w:p>
    <w:p>
      <w:pPr>
        <w:spacing w:after="120"/>
      </w:pPr>
      <w:r>
        <w:rPr>
          <w:rFonts w:ascii="Arial" w:cs="Arial" w:eastAsia="Arial" w:hAnsi="Arial"/>
          <w:b w:val="false"/>
          <w:bCs w:val="false"/>
          <w:i w:val="false"/>
          <w:iCs w:val="false"/>
          <w:color w:val="000000"/>
          <w:sz w:val="22"/>
          <w:szCs w:val="22"/>
        </w:rPr>
        <w:t xml:space="preserve">Stage 3, large N on the order of 5000 pairs and beyond (late stage). Weight-level adjustment becomes statistically defensible. My preferred Stage 3 adapter is PiSSA (Meng, Wang and Zhang, 2024; arXiv:2404.02948), which initializes the low-rank update matrices from the SVD of the pretrained weights so the adapter trains the principal directions rather than random or zero ones; this is attractive for noisy low-N scalar rewards like a MetaDynamics-derived FES summary. DoRA (Liu et al., ICML 2024 Oral; arXiv:2402.09353; decouples adapter magnitude and direction) is a strong second choice. LoRA+ (Hayou, Ghosh and Yu, 2024; arXiv:2402.12354; better learning-rate / scaling rule) is the safe baseline alongside the original LoRA (Hu et al. 2021; arXiv:2106.09685). There is no head-to-head adapter benchmark on enzyme variant ranking yet, so I would run PiSSA, DoRA and LoRA+ as a small adapter ablation at the start of Stage 3.</w:t>
      </w:r>
    </w:p>
    <w:p>
      <w:pPr>
        <w:spacing w:after="120"/>
      </w:pPr>
      <w:r>
        <w:rPr>
          <w:rFonts w:ascii="Arial" w:cs="Arial" w:eastAsia="Arial" w:hAnsi="Arial"/>
          <w:b w:val="false"/>
          <w:bCs w:val="false"/>
          <w:i w:val="false"/>
          <w:iCs w:val="false"/>
          <w:color w:val="000000"/>
          <w:sz w:val="22"/>
          <w:szCs w:val="22"/>
        </w:rPr>
        <w:t xml:space="preserve">Beyond parameter-efficient adapters, full reinforcement learning with continuous reward (GRPO, as in Stocco et al. 2024 ProtRL; arXiv:2412.12979) is the upper-end option once a few thousand labeled pairs exist. ReFT (Wu et al. 2024; arXiv:2404.03592) is a conceptually attractive alternative because it intervenes on representations rather than weights, which composes naturally with my Stage 2 steering, but it is less standard for protein language models. Each stage's labeled-pair budget is conservatively about 10 times the previous; I will not move from one stage to the next until the data budget supports it.</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Stage 2 and Stage 3 have not been benchmarked on GenSLM specifically. The simplest baseline (just rerank GenSLM's outputs by a generic protein-language-model likelihood) must be measured first; every more elaborate stage earns its compute budget only if it beats that baseline. Phase 2 also depends on the activity-proxy decision (MMPBSA rank, literature k_cat, or hand-binned classes) called out in the open questions section.</w:t>
      </w:r>
    </w:p>
    <w:p>
      <w:pPr>
        <w:spacing w:after="120"/>
      </w:pPr>
      <w:r>
        <w:rPr>
          <w:rFonts w:ascii="Arial" w:cs="Arial" w:eastAsia="Arial" w:hAnsi="Arial"/>
          <w:b w:val="false"/>
          <w:bCs w:val="false"/>
          <w:i w:val="false"/>
          <w:iCs w:val="false"/>
          <w:color w:val="000000"/>
          <w:sz w:val="22"/>
          <w:szCs w:val="22"/>
        </w:rPr>
        <w:t xml:space="preserve">How my plan compares to other recent work in this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Work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Method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Stage in my plan</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Relation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Yang et al. NeurIPS 2025 (SGPO; arXiv:2505.15093)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Classifier-guided posterior sampling on a discrete-diffusion protein LM, benchmarked on TrpB at small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1 (small N) — small-N feasibility precedent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Closest small-N protein-LM TrpB benchmark; their PLM is discrete-diffusion while GenSLM is autoregressive, so my Stage 1 is the BO-over-PLM-embeddings analogue of SGPO with the same small-N feasibility argument.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Turner et al. 2023 (activation engineering / addition; arXiv:2308.10248); Zou et al. 2023 (representation engineering; arXiv:2310.01405)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Add a contrastively-derived steering vector to the residual stream at inference; weights stay frozen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2 (medium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The steering target is a contrastive direction trained on (high-reward, low-reward) pairs derived from MetaDynamics-derived reward.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Meng, Wang and Zhang 2024 (PiSSA; arXiv:2404.02948)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SVD-initialized LoRA: trains the principal directions of the pretrained weights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preferred adapter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Best fit for noisy low-N scalar rewards (e.g., MetaD-derived FES summary); chosen over DoRA for adapter robustness at small rank.</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Liu et al. ICML 2024 Oral (DoRA; arXiv:2402.09353)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Decomposes pretrained weights into magnitude and direction; LoRA only on direction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second choice / ablation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Strong improvement over the original LoRA (Hu et al. 2021; arXiv:2106.09685) at low rank, but not protein-validated head-to-head against PiSSA on enzyme variant ranking.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Hayou, Ghosh and Yu 2024 (LoRA+; arXiv:2402.12354)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Original LoRA with a better learning-rate / scaling rule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baseline / control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Cheap, stable and easy to debug at N≈5000; used as the control for the PiSSA / DoRA adapter ablation.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Stocco et al. 2024 (ProtRL; arXiv:2412.12979)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wDPO + GRPO reinforcement learning of ZymCTRL family; produced low-nM EGFR binders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RL upper bound)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Recipe for the reinforcement-learning option once the labeled set is materially larger than my 30 to 50.</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ByteDance Seed et al. 2026 (arXiv:2602.02128)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Causal SE(3)-equivariant diffusion transformer that rolls out microsecond-scale all-atom protein trajectories from a sequence; not coarse-grained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Orthogonal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Generates approximate MD trajectories from a sequence; my plan runs ground-truth PLUMED MetaDynamics on a fixed sequence and feeds that MetaDynamics output back into a sequence model. Their generative MD is a complementary scaling lever, not a substitute for the reward source.</w:t>
            </w:r>
          </w:p>
        </w:tc>
      </w:tr>
    </w:tbl>
    <w:p>
      <w:pPr>
        <w:spacing w:after="60"/>
      </w:pP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v2 10-walker LINCS exit code 139</w:t>
      </w:r>
    </w:p>
    <w:p>
      <w:pPr>
        <w:spacing w:after="120"/>
      </w:pPr>
      <w:r>
        <w:rPr>
          <w:rFonts w:ascii="Arial" w:cs="Arial" w:eastAsia="Arial" w:hAnsi="Arial"/>
          <w:b w:val="false"/>
          <w:bCs w:val="false"/>
          <w:i/>
          <w:iCs/>
          <w:color w:val="000000"/>
          <w:sz w:val="22"/>
          <w:szCs w:val="22"/>
        </w:rPr>
        <w:t xml:space="preserve">What happened: All 10 walkers in production v2 crashed within 12 minutes. The Slurm logs all reported LINCS WARNING on atoms 4463 through 4465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uncomfortably close to the off-path wall</w:t>
      </w:r>
    </w:p>
    <w:p>
      <w:pPr>
        <w:spacing w:after="120"/>
      </w:pPr>
      <w:r>
        <w:rPr>
          <w:rFonts w:ascii="Arial" w:cs="Arial" w:eastAsia="Arial" w:hAnsi="Arial"/>
          <w:b w:val="false"/>
          <w:bCs w:val="false"/>
          <w:i/>
          <w:iCs/>
          <w:color w:val="000000"/>
          <w:sz w:val="22"/>
          <w:szCs w:val="22"/>
        </w:rPr>
        <w:t xml:space="preserve">What happened: each of the 10 production walkers needs a starting structure spread along the path coordinate s, and within each s-window I pick the frame whose off-path deviation z is smallest (closest to the path). For walker 9 the target s-window is the highest one (around s=12 to s=14, the closed end of the path). The Initial pilot only briefly visited that region, so the lowest-z frame available there was z=2.01 inverse Angstroms squared. The production walker has an upper-wall restraint at z=2.5 that pushes the system back if it strays too far off the path. Walker 9 therefore starts only 0.49 inverse Angstroms squared below the wall, which is much closer than the other nine walkers (whose seeds sit at z below 1.0).</w:t>
      </w:r>
    </w:p>
    <w:p>
      <w:pPr>
        <w:spacing w:after="120"/>
      </w:pPr>
      <w:r>
        <w:rPr>
          <w:rFonts w:ascii="Arial" w:cs="Arial" w:eastAsia="Arial" w:hAnsi="Arial"/>
          <w:b w:val="false"/>
          <w:bCs w:val="false"/>
          <w:i/>
          <w:iCs/>
          <w:color w:val="000000"/>
          <w:sz w:val="22"/>
          <w:szCs w:val="22"/>
        </w:rPr>
        <w:t xml:space="preserve">Root cause: the Initial pilot is single-walker and only ran for 24 ns; the high-s end of the path is the last region the walker reaches and it does not spend long there. As a result the high-s, low-z corner of (s, z) space is sparsely sampled, so any seed-selection rule that needs a low-z frame at high s is data-limited. This is an Initial-pilot coverage issue, not a flaw in the selection rule.</w:t>
      </w:r>
    </w:p>
    <w:p>
      <w:pPr>
        <w:spacing w:after="120"/>
      </w:pPr>
      <w:r>
        <w:rPr>
          <w:rFonts w:ascii="Arial" w:cs="Arial" w:eastAsia="Arial" w:hAnsi="Arial"/>
          <w:b w:val="false"/>
          <w:bCs w:val="false"/>
          <w:i/>
          <w:iCs/>
          <w:color w:val="000000"/>
          <w:sz w:val="22"/>
          <w:szCs w:val="22"/>
        </w:rPr>
        <w:t xml:space="preserve">How I handled it: the smoke test on walker 9 ran energy minimization for 1000 steps, NVT for 100 ps, and the first 1000 MetaDynamics steps. EM converged in 759 steps without ever pushing z above 2.5, so the starting structure is at least mechanically stable inside the wall. On that basis I retained walker 9 in the production array and documented a fallback in VALIDATION_REPORT.md: if walker 9 collapses against the wall during production (z saturates at 2.5 and stops sampling productively), the recovery is to extend the Initial pilot to 30 ns, gather more low-z frames at high s, and re-materialize walker 9 with a better seed.</w:t>
      </w:r>
    </w:p>
    <w:p>
      <w:pPr>
        <w:spacing w:after="120"/>
      </w:pPr>
      <w:r>
        <w:rPr>
          <w:rFonts w:ascii="Arial" w:cs="Arial" w:eastAsia="Arial" w:hAnsi="Arial"/>
          <w:b w:val="false"/>
          <w:bCs w:val="false"/>
          <w:i/>
          <w:iCs/>
          <w:color w:val="000000"/>
          <w:sz w:val="22"/>
          <w:szCs w:val="22"/>
        </w:rPr>
        <w:t xml:space="preserve">Lesson: a passing smoke test on 1000 steps proves the starting structure is mechanically stable for a few picoseconds; it does not prove the same configuration survives 50 ns of biased sampling. Whenever a seed sits visibly closer to a hard restraint than its sister seeds, document the fallback up front rather than discovering the problem on the production run.</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Which activity signal should I anchor the reward against?</w:t>
      </w:r>
    </w:p>
    <w:p>
      <w:pPr>
        <w:spacing w:after="120"/>
      </w:pPr>
      <w:r>
        <w:rPr>
          <w:rFonts w:ascii="Arial" w:cs="Arial" w:eastAsia="Arial" w:hAnsi="Arial"/>
          <w:b w:val="false"/>
          <w:bCs w:val="false"/>
          <w:i w:val="false"/>
          <w:iCs w:val="false"/>
          <w:color w:val="000000"/>
          <w:sz w:val="22"/>
          <w:szCs w:val="22"/>
        </w:rPr>
        <w:t xml:space="preserve">Why this question matters: the Stage 1 reward in Section 2.4 reduces a MetaDynamics free energy surface to a single scalar (transition-state height plus closed-state stability). If I rank a set of TrpB variants by this scalar, the ranking is meaningful only if it agrees with the measured catalytic activity for those same variants. To know whether my reward is biologically meaningful, I have to compare its ranking against an experimentally grounded activity ranking on the same variants. Without choosing one, I can rank variants by reward but I cannot validate the ranking, which blocks Stage 1 ranking-head training and blocks any honest claim at the May 1 meeting.</w:t>
      </w:r>
    </w:p>
    <w:p>
      <w:pPr>
        <w:spacing w:after="120"/>
      </w:pPr>
      <w:r>
        <w:rPr>
          <w:rFonts w:ascii="Arial" w:cs="Arial" w:eastAsia="Arial" w:hAnsi="Arial"/>
          <w:b w:val="false"/>
          <w:bCs w:val="false"/>
          <w:i w:val="false"/>
          <w:iCs w:val="false"/>
          <w:color w:val="000000"/>
          <w:sz w:val="22"/>
          <w:szCs w:val="22"/>
        </w:rPr>
        <w:t xml:space="preserve">Three candidate signals: (a) Yu's MMPBSA rank — cheap, available for every variant we have a structure for, but MMPBSA reports binding affinity which is only weakly correlated with catalytic rate; (b) literature k_cat — the gold-standard catalytic rate, but published values cover only a small handful of well-studied variants and the coverage is sparse; (c) hand-binned activity classes — Yu or PM assigning each variant a high / medium / low label by inspection, which is the coarsest signal but the easiest one to extend to new variants. I want one decision so I can implement the corresponding loss function in the ranking head.</w:t>
      </w:r>
    </w:p>
    <w:p>
      <w:pPr>
        <w:spacing w:after="120"/>
      </w:pPr>
      <w:r>
        <w:rPr>
          <w:rFonts w:ascii="Arial" w:cs="Arial" w:eastAsia="Arial" w:hAnsi="Arial"/>
          <w:b w:val="false"/>
          <w:bCs w:val="false"/>
          <w:i w:val="false"/>
          <w:iCs w:val="false"/>
          <w:color w:val="000000"/>
          <w:sz w:val="22"/>
          <w:szCs w:val="22"/>
        </w:rPr>
        <w:t xml:space="preserve">2. Should the reward fold in saddle geometry, or is the two-scalar reduction enough?</w:t>
      </w:r>
    </w:p>
    <w:p>
      <w:pPr>
        <w:spacing w:after="120"/>
      </w:pPr>
      <w:r>
        <w:rPr>
          <w:rFonts w:ascii="Arial" w:cs="Arial" w:eastAsia="Arial" w:hAnsi="Arial"/>
          <w:b w:val="false"/>
          <w:bCs w:val="false"/>
          <w:i w:val="false"/>
          <w:iCs w:val="false"/>
          <w:color w:val="000000"/>
          <w:sz w:val="22"/>
          <w:szCs w:val="22"/>
        </w:rPr>
        <w:t xml:space="preserve">Why this question matters: my current Stage 1 reward compresses a full 2D FES into two numbers (transition-state height; closed-state stability). Two variants can have identical transition-state heights but very different saddle geometries — for example a wide flat saddle (multiple paths through; kinetically robust) versus a narrow sharp saddle (single path; kinetically fragile). The two-scalar reward cannot distinguish these. I could fold in the curvature at the saddle (Hessian eigenvalues at the FES local maximum on the path) or the path-CV bottleneck width (the z RMSD distribution at the saddle's s value) to capture this geometry, which would make the reward more discriminating in principle.</w:t>
      </w:r>
    </w:p>
    <w:p>
      <w:pPr>
        <w:spacing w:after="120"/>
      </w:pPr>
      <w:r>
        <w:rPr>
          <w:rFonts w:ascii="Arial" w:cs="Arial" w:eastAsia="Arial" w:hAnsi="Arial"/>
          <w:b w:val="false"/>
          <w:bCs w:val="false"/>
          <w:i w:val="false"/>
          <w:iCs w:val="false"/>
          <w:color w:val="000000"/>
          <w:sz w:val="22"/>
          <w:szCs w:val="22"/>
        </w:rPr>
        <w:t xml:space="preserve">The trade-off: more reward dimensions means more parameters in the Stage 1 ranking head, which means more labeled (sequence, MetaDynamics) pairs to train it. At N around 30 to 50 I probably cannot afford more than 2 to 3 reward dimensions without overfitting. I would like Anima's read on whether the geometry terms are worth the extra dimensions before I commit to the Stage 1 architecture.</w:t>
      </w:r>
    </w:p>
    <w:p>
      <w:pPr>
        <w:spacing w:after="120"/>
      </w:pPr>
      <w:r>
        <w:rPr>
          <w:rFonts w:ascii="Arial" w:cs="Arial" w:eastAsia="Arial" w:hAnsi="Arial"/>
          <w:b w:val="false"/>
          <w:bCs w:val="false"/>
          <w:i w:val="false"/>
          <w:iCs w:val="false"/>
          <w:color w:val="000000"/>
          <w:sz w:val="22"/>
          <w:szCs w:val="22"/>
        </w:rPr>
        <w:t xml:space="preserve">3. Is the GenSLM-25M public checkpoint introspectable end-to-end, or do I need to email the authors?</w:t>
      </w:r>
    </w:p>
    <w:p>
      <w:pPr>
        <w:spacing w:after="120"/>
      </w:pPr>
      <w:r>
        <w:rPr>
          <w:rFonts w:ascii="Arial" w:cs="Arial" w:eastAsia="Arial" w:hAnsi="Arial"/>
          <w:b w:val="false"/>
          <w:bCs w:val="false"/>
          <w:i w:val="false"/>
          <w:iCs w:val="false"/>
          <w:color w:val="000000"/>
          <w:sz w:val="22"/>
          <w:szCs w:val="22"/>
        </w:rPr>
        <w:t xml:space="preserve">Why this question matters: the Stage 1 ranking head needs to read GenSLM's hidden state for each candidate sequence and then map that to a scalar. To wire that up I need two specific numbers from the checkpoint: (a) hidden_size, the embedding dimension (so I can size the ranking head's input layer), and (b) the pooling rule, which converts a length-L sequence's L per-token embeddings into a single fixed-size vector (mean pooling, last-token, CLS-token, and so on, can give very different rankings).</w:t>
      </w:r>
    </w:p>
    <w:p>
      <w:pPr>
        <w:spacing w:after="120"/>
      </w:pPr>
      <w:r>
        <w:rPr>
          <w:rFonts w:ascii="Arial" w:cs="Arial" w:eastAsia="Arial" w:hAnsi="Arial"/>
          <w:b w:val="false"/>
          <w:bCs w:val="false"/>
          <w:i w:val="false"/>
          <w:iCs w:val="false"/>
          <w:color w:val="000000"/>
          <w:sz w:val="22"/>
          <w:szCs w:val="22"/>
        </w:rPr>
        <w:t xml:space="preserve">Lambert 2026 supplies the 25M-parameter checkpoint but does not state either value in the methods section. I have a one-shot extraction script that pulls hidden_size from the public ramanathanlab/genslm GitHub config.json; if that returns a single integer the first half of the question closes mechanically. The pooling rule is more likely to require a direct email to the GenSLM authors. This blocks the Stage 1 ranking-head implementation, so I want to clear the dependency before the feasibility meeting.</w:t>
      </w:r>
    </w:p>
    <w:p>
      <w:pPr>
        <w:spacing w:after="120"/>
      </w:pPr>
      <w:r>
        <w:rPr>
          <w:rFonts w:ascii="Arial" w:cs="Arial" w:eastAsia="Arial" w:hAnsi="Arial"/>
          <w:b w:val="false"/>
          <w:bCs w:val="false"/>
          <w:i w:val="false"/>
          <w:iCs w:val="false"/>
          <w:color w:val="000000"/>
          <w:sz w:val="22"/>
          <w:szCs w:val="22"/>
        </w:rPr>
        <w:t xml:space="preserve">4. Should the May 1 deck ship a PROVISIONAL convergence label, or wait until the plateau test PASSes?</w:t>
      </w:r>
    </w:p>
    <w:p>
      <w:pPr>
        <w:spacing w:after="120"/>
      </w:pPr>
      <w:r>
        <w:rPr>
          <w:rFonts w:ascii="Arial" w:cs="Arial" w:eastAsia="Arial" w:hAnsi="Arial"/>
          <w:b w:val="false"/>
          <w:bCs w:val="false"/>
          <w:i w:val="false"/>
          <w:iCs w:val="false"/>
          <w:color w:val="000000"/>
          <w:sz w:val="22"/>
          <w:szCs w:val="22"/>
        </w:rPr>
        <w:t xml:space="preserve">Why this question matters: the JACS 2019 SI Fig S4 plateau test is the published gate for claiming a converged FES. Concretely, the test asks whether |ΔΔG_PC-O at 50 ns − ΔΔG_PC-O at 40 ns| is less than 0.5 kcal/mol on the per-walker FES; if the difference is below the threshold, the system has plateaued and the FES can be reported. Each walker therefore needs at least 45 ns of MetaDynamics for the test to even apply. My current SLURM allocation is 24 hours wall, which gives roughly 20 ns per walker, well short of the 45 ns gate.</w:t>
      </w:r>
    </w:p>
    <w:p>
      <w:pPr>
        <w:spacing w:after="120"/>
      </w:pPr>
      <w:r>
        <w:rPr>
          <w:rFonts w:ascii="Arial" w:cs="Arial" w:eastAsia="Arial" w:hAnsi="Arial"/>
          <w:b w:val="false"/>
          <w:bCs w:val="false"/>
          <w:i w:val="false"/>
          <w:iCs w:val="false"/>
          <w:color w:val="000000"/>
          <w:sz w:val="22"/>
          <w:szCs w:val="22"/>
        </w:rPr>
        <w:t xml:space="preserve">Two paths forward: (a) extend the production wall to 72 hours, get roughly 60 ns per walker, run the plateau test, and ship a PASSED label (cost: a 2-day delay and additional GPU-hours); (b) ship the FES we have at 20 ns per walker, attach the plateau-test diagnostic plot showing the curve has not yet flattened, label the figure PROVISIONAL, and ask the lab to make qualitative decisions about the basin structure rather than absolute numbers. Both have trade-offs and I want the lab's call before committing.</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pooling rule before the staged-plan feasibility meeting.</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Debug the 10-walker production. I have observed LINCS warnings appearing mid-run on a subset of walkers (around 1 to 3 ns into the MetaDynamics phase, distinct from the v2 startup-LINCS signature). Next week's first job is to localize the failure mode (most likely a bias-rate / time-step interaction with water settling in high-bias regions) and decide between a shorter time step, a lower Gaussian height, or a damped early-stage bias schedule.</w:t>
      </w:r>
    </w:p>
    <w:p>
      <w:pPr>
        <w:spacing w:after="120"/>
      </w:pPr>
      <w:r>
        <w:rPr>
          <w:rFonts w:ascii="Arial" w:cs="Arial" w:eastAsia="Arial" w:hAnsi="Arial"/>
          <w:b w:val="false"/>
          <w:bCs w:val="false"/>
          <w:i w:val="false"/>
          <w:iCs w:val="false"/>
          <w:color w:val="000000"/>
          <w:sz w:val="22"/>
          <w:szCs w:val="22"/>
        </w:rPr>
        <w:t xml:space="preserve">2. Think through how to integrate transition-state data into the reward function. The reward I sketched in Section 2.4 reads two scalars off the FES (transition-state height between O and C, and closed-state stability). What I want to explore next week is whether the path-coordinate free-energy profile itself, including the geometry of the saddle region, can be folded into the reward — for example by adding a curvature term at the saddle, or by using the path-CV bottleneck width — without losing the small-N statistical defensibility argument from Stage 1.</w:t>
      </w:r>
    </w:p>
    <w:p>
      <w:pPr>
        <w:spacing w:after="120"/>
      </w:pPr>
      <w:r>
        <w:rPr>
          <w:rFonts w:ascii="Arial" w:cs="Arial" w:eastAsia="Arial" w:hAnsi="Arial"/>
          <w:b w:val="false"/>
          <w:bCs w:val="false"/>
          <w:i w:val="false"/>
          <w:iCs w:val="false"/>
          <w:color w:val="000000"/>
          <w:sz w:val="22"/>
          <w:szCs w:val="22"/>
        </w:rPr>
        <w:t xml:space="preserve">3. Schedule a short feasibility meeting with Prof. Anandkumar to walk through the staged MetaDynamics-to-GenSLM plan (Stage 1 ranking head; Stage 2 activation steering; Stage 3 PiSSA / DoRA / LoRA+ ablation), the activity-proxy decision, and the transition-state-integration question above.</w:t>
      </w:r>
    </w:p>
    <w:p>
      <w:pPr>
        <w:spacing w:after="120"/>
      </w:pPr>
      <w:r>
        <w:rPr>
          <w:rFonts w:ascii="Arial" w:cs="Arial" w:eastAsia="Arial" w:hAnsi="Arial"/>
          <w:b w:val="false"/>
          <w:bCs w:val="false"/>
          <w:i w:val="false"/>
          <w:iCs w:val="false"/>
          <w:color w:val="000000"/>
          <w:sz w:val="22"/>
          <w:szCs w:val="22"/>
        </w:rPr>
        <w:t xml:space="preserve">4. Continue Lambert et al. 2026 (GenSLM-25M-TrpB) reading; resolve Fig 2A's pooling rule before the feasibility meeting.</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re-read;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Attached Figures</w:t>
      </w:r>
    </w:p>
    <w:p>
      <w:pPr>
        <w:spacing w:after="120"/>
      </w:pPr>
      <w:r>
        <w:rPr>
          <w:rFonts w:ascii="Arial" w:cs="Arial" w:eastAsia="Arial" w:hAnsi="Arial"/>
          <w:b w:val="false"/>
          <w:bCs w:val="false"/>
          <w:i w:val="false"/>
          <w:iCs w:val="false"/>
          <w:color w:val="000000"/>
          <w:sz w:val="22"/>
          <w:szCs w:val="22"/>
        </w:rPr>
        <w:t xml:space="preserve">Figure 1 — reports/figures/before_after_fp034.png. Two-panel side-by-side comparison of the Initial pilot s-vs-time trajectory.</w:t>
      </w:r>
    </w:p>
    <w:p>
      <w:pPr>
        <w:spacing w:after="12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57475"/>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Left panel: pre-realignment baseline single-walker pilot COLVAR from before this week's path-builder fix (the legacy run that stayed at s less than 1.9 over 17 ns). Right panel: current 24 ns Initial pilot COLVAR (reports/figures/raw_data/longleaf_initial_seqaligned_COLVAR, frozen Longleaf snapshot 2026-04-25 11:49 EDT, 24.03 ns of MetaDynamics, 12,015 Gaussian deposits).</w:t>
      </w:r>
    </w:p>
    <w:p>
      <w:pPr>
        <w:spacing w:after="120"/>
      </w:pPr>
      <w:r>
        <w:rPr>
          <w:rFonts w:ascii="Arial" w:cs="Arial" w:eastAsia="Arial" w:hAnsi="Arial"/>
          <w:b w:val="false"/>
          <w:bCs w:val="false"/>
          <w:i w:val="false"/>
          <w:iCs w:val="false"/>
          <w:color w:val="000000"/>
          <w:sz w:val="22"/>
          <w:szCs w:val="22"/>
        </w:rPr>
        <w:t xml:space="preserve">Transformation. From each COLVAR, read columns 1, 2 and 3 (time in ps, s in dimensionless path units, z in Angstroms squared) and plot s vs time in the corresponding panel. Horizontal dashed reference lines at s=2 (O boundary), s=6 (PC), s=10 (C). Per-panel annotation reports the walker's max(s) value.</w:t>
      </w:r>
    </w:p>
    <w:p>
      <w:pPr>
        <w:spacing w:after="120"/>
      </w:pPr>
      <w:r>
        <w:rPr>
          <w:rFonts w:ascii="Arial" w:cs="Arial" w:eastAsia="Arial" w:hAnsi="Arial"/>
          <w:b w:val="false"/>
          <w:bCs w:val="false"/>
          <w:i w:val="false"/>
          <w:iCs w:val="false"/>
          <w:color w:val="000000"/>
          <w:sz w:val="22"/>
          <w:szCs w:val="22"/>
        </w:rPr>
        <w:t xml:space="preserve">Figure 2 — reports/figures/initial_pilot_latest_fes.png. Latest Initial pilot 2D free energy surface at 24 ns, single-walker, in the JACS 2019 SI Fig S2/S3 style.</w:t>
      </w:r>
    </w:p>
    <w:p>
      <w:pPr>
        <w:spacing w:after="12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reports/figures/raw_data/fes_initial_seqaligned_sumhills.dat. Produced by running plumed sum_hills --hills longleaf_initial_seqaligned_HILLS --kt 0.695 --mintozero on a compute node, on the same frozen 24.03 ns Longleaf snapshot used in Figure 1.</w:t>
      </w:r>
    </w:p>
    <w:p>
      <w:pPr>
        <w:spacing w:after="120"/>
      </w:pPr>
      <w:r>
        <w:rPr>
          <w:rFonts w:ascii="Arial" w:cs="Arial" w:eastAsia="Arial" w:hAnsi="Arial"/>
          <w:b w:val="false"/>
          <w:bCs w:val="false"/>
          <w:i w:val="false"/>
          <w:iCs w:val="false"/>
          <w:color w:val="000000"/>
          <w:sz w:val="22"/>
          <w:szCs w:val="22"/>
        </w:rPr>
        <w:t xml:space="preserve">Transformation. The .dat file is a regular grid of s, z, ΔG values. I plot it with matplotlib pcolormesh; x-axis is s (path coordinate, dimensionless), y-axis is z RMSD in Angstroms (computed as the square root of the raw MSD column z to give a length-scale axis), color is ΔG in kcal/mol with the colorbar capped at 30. The figure differs from the published Fig S2 because (a) Fig S2 aggregates 10 walkers over 50 ns each (~500 ns total), and (b) my pilot is single-walker at 24 ns of the upstream FALLBACK contract; the overall basin shape and assignments are consistent.</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M. A. et al. Enzyme conformational dynamics in the catalytic cycle of tryptophan synthase. JACS 141, 13049-13056 (2019). DOI: 10.1021/jacs.9b03646. Reference protocol I am replicating.</w:t>
      </w:r>
    </w:p>
    <w:p>
      <w:pPr>
        <w:spacing w:after="120"/>
      </w:pPr>
      <w:r>
        <w:rPr>
          <w:rFonts w:ascii="Arial" w:cs="Arial" w:eastAsia="Arial" w:hAnsi="Arial"/>
          <w:b w:val="false"/>
          <w:bCs w:val="false"/>
          <w:i w:val="false"/>
          <w:iCs w:val="false"/>
          <w:color w:val="000000"/>
          <w:sz w:val="22"/>
          <w:szCs w:val="22"/>
        </w:rPr>
        <w:t xml:space="preserve">2. Branduardi, D., Gervasio, F. L. and Parrinello, M. From A to B in free energy space. J. Chem. Phys. 126, 054103 (2007). DOI: 10.1063/1.2432340. Defines the path-CV LAMBDA = 2.3 / mean adjacent MSD.</w:t>
      </w:r>
    </w:p>
    <w:p>
      <w:pPr>
        <w:spacing w:after="120"/>
      </w:pPr>
      <w:r>
        <w:rPr>
          <w:rFonts w:ascii="Arial" w:cs="Arial" w:eastAsia="Arial" w:hAnsi="Arial"/>
          <w:b w:val="false"/>
          <w:bCs w:val="false"/>
          <w:i w:val="false"/>
          <w:iCs w:val="false"/>
          <w:color w:val="000000"/>
          <w:sz w:val="22"/>
          <w:szCs w:val="22"/>
        </w:rPr>
        <w:t xml:space="preserve">3. Tribello, G. A. et al. PLUMED 2: New feathers for an old bird. Comput. Phys. Commun. 185, 604-613 (2014). DOI: 10.1016/j.cpc.2013.09.018. The PLUMED engine I use for the bias.</w:t>
      </w:r>
    </w:p>
    <w:p>
      <w:pPr>
        <w:spacing w:after="120"/>
      </w:pPr>
      <w:r>
        <w:rPr>
          <w:rFonts w:ascii="Arial" w:cs="Arial" w:eastAsia="Arial" w:hAnsi="Arial"/>
          <w:b w:val="false"/>
          <w:bCs w:val="false"/>
          <w:i w:val="false"/>
          <w:iCs w:val="false"/>
          <w:color w:val="000000"/>
          <w:sz w:val="22"/>
          <w:szCs w:val="22"/>
        </w:rPr>
        <w:t xml:space="preserve">4. Henzler-Wildman, K. and Kern, D. Dynamic personalities of proteins. Nature 450, 964-972 (2007). DOI: 10.1038/nature06522. Establishes that enzyme function is governed by inter-state transition rates, not single-state occupancy.</w:t>
      </w:r>
    </w:p>
    <w:p>
      <w:pPr>
        <w:spacing w:after="120"/>
      </w:pPr>
      <w:r>
        <w:rPr>
          <w:rFonts w:ascii="Arial" w:cs="Arial" w:eastAsia="Arial" w:hAnsi="Arial"/>
          <w:b w:val="false"/>
          <w:bCs w:val="false"/>
          <w:i w:val="false"/>
          <w:iCs w:val="false"/>
          <w:color w:val="000000"/>
          <w:sz w:val="22"/>
          <w:szCs w:val="22"/>
        </w:rPr>
        <w:t xml:space="preserve">5. Boehr, D. D. et al. The dynamic energy landscape of dihydrofolate reductase catalysis. Science 313, 1638-1642 (2006). DOI: 10.1126/science.1130258. Direct evidence linking conformational transition rates to catalytic activity.</w:t>
      </w:r>
    </w:p>
    <w:p>
      <w:pPr>
        <w:spacing w:after="120"/>
      </w:pPr>
      <w:r>
        <w:rPr>
          <w:rFonts w:ascii="Arial" w:cs="Arial" w:eastAsia="Arial" w:hAnsi="Arial"/>
          <w:b w:val="false"/>
          <w:bCs w:val="false"/>
          <w:i w:val="false"/>
          <w:iCs w:val="false"/>
          <w:color w:val="000000"/>
          <w:sz w:val="22"/>
          <w:szCs w:val="22"/>
        </w:rPr>
        <w:t xml:space="preserve">6. Yang, J., Chu, W., Khalil, D., Astudillo, R., Wittmann, B. J., Arnold, F. H. and Yue, Y. Steering Generative Models with Experimental Data for Protein Fitness Optimization. NeurIPS 2025. arXiv:2505.15093. Plug-and-play classifier guidance / posterior sampling on discrete-diffusion protein language models, benchmarked on TrpB and CreiLOV at small N (~hundreds of labels). Supports the small-N feasibility for my Stage 1.</w:t>
      </w:r>
    </w:p>
    <w:p>
      <w:pPr>
        <w:spacing w:after="120"/>
      </w:pPr>
      <w:r>
        <w:rPr>
          <w:rFonts w:ascii="Arial" w:cs="Arial" w:eastAsia="Arial" w:hAnsi="Arial"/>
          <w:b w:val="false"/>
          <w:bCs w:val="false"/>
          <w:i w:val="false"/>
          <w:iCs w:val="false"/>
          <w:color w:val="000000"/>
          <w:sz w:val="22"/>
          <w:szCs w:val="22"/>
        </w:rPr>
        <w:t xml:space="preserve">7. Stocco, F., Artigues-Lleixa, M., Hunklinger, A., Widatalla, T., Guell, M. and Ferruz, N. Guiding Generative Protein Language Models with Reinforcement Learning. arXiv:2412.12979 (2024). Implements wDPO and GRPO RL fine-tuning of protein LMs (ZymCTRL family); produced low-nM EGFR binders. Reference recipe for my Stage 3 RL upper bound.</w:t>
      </w:r>
    </w:p>
    <w:p>
      <w:pPr>
        <w:spacing w:after="120"/>
      </w:pPr>
      <w:r>
        <w:rPr>
          <w:rFonts w:ascii="Arial" w:cs="Arial" w:eastAsia="Arial" w:hAnsi="Arial"/>
          <w:b w:val="false"/>
          <w:bCs w:val="false"/>
          <w:i w:val="false"/>
          <w:iCs w:val="false"/>
          <w:color w:val="000000"/>
          <w:sz w:val="22"/>
          <w:szCs w:val="22"/>
        </w:rPr>
        <w:t xml:space="preserve">8. Lambert, S. M. et al. Generative protein language modeling for tryptophan synthase variants. arXiv (2026). Supplies the 25M GenSLM checkpoint that Phase 2 targets.</w:t>
      </w:r>
    </w:p>
    <w:p>
      <w:pPr>
        <w:spacing w:after="120"/>
      </w:pPr>
      <w:r>
        <w:rPr>
          <w:rFonts w:ascii="Arial" w:cs="Arial" w:eastAsia="Arial" w:hAnsi="Arial"/>
          <w:b w:val="false"/>
          <w:bCs w:val="false"/>
          <w:i w:val="false"/>
          <w:iCs w:val="false"/>
          <w:color w:val="000000"/>
          <w:sz w:val="22"/>
          <w:szCs w:val="22"/>
        </w:rPr>
        <w:t xml:space="preserve">9. ByteDance Seed and collaborators. Scalable Spatio-Temporal SE(3) Diffusion for Long-Horizon Protein Dynamics. arXiv:2602.02128 (Feb 2026). Causal SE(3)-equivariant diffusion transformer that rolls out microsecond-scale all-atom protein trajectories from a sequence. Discussed in Section 2.4 as orthogonal: their direction is sequence to MD trajectory; mine is MD trajectory to sequence-scoring reward.</w:t>
      </w:r>
    </w:p>
    <w:p>
      <w:pPr>
        <w:spacing w:after="120"/>
      </w:pPr>
      <w:r>
        <w:rPr>
          <w:rFonts w:ascii="Arial" w:cs="Arial" w:eastAsia="Arial" w:hAnsi="Arial"/>
          <w:b w:val="false"/>
          <w:bCs w:val="false"/>
          <w:i w:val="false"/>
          <w:iCs w:val="false"/>
          <w:color w:val="000000"/>
          <w:sz w:val="22"/>
          <w:szCs w:val="22"/>
        </w:rPr>
        <w:t xml:space="preserve">10. Turner, A. M., Thiergart, G., Leech, G., Udell, D., Vazquez, J. J., Mini, U. and MacDiarmid, M. Steering Language Models With Activation Engineering. arXiv:2308.10248 (Aug 2023; v4 retitled Activation Addition: Steering Language Models Without Optimization). Adds a contrastively-derived steering vector to the residual stream at inference; weights stay frozen. Reference recipe for my Stage 2.</w:t>
      </w:r>
    </w:p>
    <w:p>
      <w:pPr>
        <w:spacing w:after="120"/>
      </w:pPr>
      <w:r>
        <w:rPr>
          <w:rFonts w:ascii="Arial" w:cs="Arial" w:eastAsia="Arial" w:hAnsi="Arial"/>
          <w:b w:val="false"/>
          <w:bCs w:val="false"/>
          <w:i w:val="false"/>
          <w:iCs w:val="false"/>
          <w:color w:val="000000"/>
          <w:sz w:val="22"/>
          <w:szCs w:val="22"/>
        </w:rPr>
        <w:t xml:space="preserve">11. Zou, A., Phan, L., Chen, S. et al. Representation Engineering: A Top-Down Approach to AI Transparency. arXiv:2310.01405 (Oct 2023). Identifies and manipulates population-level internal representations to steer high-level concepts in language models. Companion reference for my Stage 2.</w:t>
      </w:r>
    </w:p>
    <w:p>
      <w:pPr>
        <w:spacing w:after="120"/>
      </w:pPr>
      <w:r>
        <w:rPr>
          <w:rFonts w:ascii="Arial" w:cs="Arial" w:eastAsia="Arial" w:hAnsi="Arial"/>
          <w:b w:val="false"/>
          <w:bCs w:val="false"/>
          <w:i w:val="false"/>
          <w:iCs w:val="false"/>
          <w:color w:val="000000"/>
          <w:sz w:val="22"/>
          <w:szCs w:val="22"/>
        </w:rPr>
        <w:t xml:space="preserve">12. Liu, S.-Y., Wang, C.-Y., Yin, H., Molchanov, P., Wang, Y.-C. F., Cheng, K.-T. and Chen, M.-H. DoRA: Weight-Decomposed Low-Rank Adaptation. ICML 2024 Oral. arXiv:2402.09353. Decomposes pretrained weights into magnitude and direction; LoRA only on direction. Preferred adapter for my Stage 3 weight-level adjustment.</w:t>
      </w:r>
    </w:p>
    <w:p>
      <w:pPr>
        <w:spacing w:after="120"/>
      </w:pPr>
      <w:r>
        <w:rPr>
          <w:rFonts w:ascii="Arial" w:cs="Arial" w:eastAsia="Arial" w:hAnsi="Arial"/>
          <w:b w:val="false"/>
          <w:bCs w:val="false"/>
          <w:i w:val="false"/>
          <w:iCs w:val="false"/>
          <w:color w:val="000000"/>
          <w:sz w:val="22"/>
          <w:szCs w:val="22"/>
        </w:rPr>
        <w:t xml:space="preserve">13. Hu, E. J., Shen, Y., Wallis, P., Allen-Zhu, Z., Li, Y., Wang, S., Wang, L. and Chen, W. LoRA: Low-Rank Adaptation of Large Language Models. arXiv:2106.09685 (June 2021); ICLR 2022. The original low-rank adapter recipe that PiSSA, DoRA, and LoRA+ refine.</w:t>
      </w:r>
    </w:p>
    <w:p>
      <w:pPr>
        <w:spacing w:after="120"/>
      </w:pPr>
      <w:r>
        <w:rPr>
          <w:rFonts w:ascii="Arial" w:cs="Arial" w:eastAsia="Arial" w:hAnsi="Arial"/>
          <w:b w:val="false"/>
          <w:bCs w:val="false"/>
          <w:i w:val="false"/>
          <w:iCs w:val="false"/>
          <w:color w:val="000000"/>
          <w:sz w:val="22"/>
          <w:szCs w:val="22"/>
        </w:rPr>
        <w:t xml:space="preserve">14. Meng, F., Wang, Z. and Zhang, M. PiSSA: Principal Singular Values and Singular Vectors Adaptation of Large Language Models. arXiv:2404.02948 (2024). Initializes the LoRA matrices from the SVD of the pretrained weights so the adapter trains principal directions instead of random/zero updates. Preferred Stage 3 adapter for my plan.</w:t>
      </w:r>
    </w:p>
    <w:p>
      <w:pPr>
        <w:spacing w:after="120"/>
      </w:pPr>
      <w:r>
        <w:rPr>
          <w:rFonts w:ascii="Arial" w:cs="Arial" w:eastAsia="Arial" w:hAnsi="Arial"/>
          <w:b w:val="false"/>
          <w:bCs w:val="false"/>
          <w:i w:val="false"/>
          <w:iCs w:val="false"/>
          <w:color w:val="000000"/>
          <w:sz w:val="22"/>
          <w:szCs w:val="22"/>
        </w:rPr>
        <w:t xml:space="preserve">15. Hayou, S., Ghosh, N. and Yu, B. LoRA+: Efficient Low Rank Adaptation of Large Models. arXiv:2402.12354 (2024). Provides a corrected learning-rate / scaling rule for the original LoRA decomposition; used as the safe baseline alongside the original LoRA.</w:t>
      </w:r>
    </w:p>
    <w:p>
      <w:pPr>
        <w:spacing w:after="120"/>
      </w:pPr>
      <w:r>
        <w:rPr>
          <w:rFonts w:ascii="Arial" w:cs="Arial" w:eastAsia="Arial" w:hAnsi="Arial"/>
          <w:b w:val="false"/>
          <w:bCs w:val="false"/>
          <w:i w:val="false"/>
          <w:iCs w:val="false"/>
          <w:color w:val="000000"/>
          <w:sz w:val="22"/>
          <w:szCs w:val="22"/>
        </w:rPr>
        <w:t xml:space="preserve">16. Wu, Z., Arora, A., Wang, Z. et al. ReFT: Representation Finetuning for Language Models. arXiv:2404.03592 (2024). Discussed in Section 2.4 as a representation-level alternative that composes naturally with my Stage 2 activation steering.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b7b554b20146df53fe7429e32bf14c50d11395.undefined"/><Relationship Id="rId8" Type="http://schemas.openxmlformats.org/officeDocument/2006/relationships/image" Target="media/f78bd7043eb39f85859cb2cf5c3940456e63a655.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2026-04-26T02:06:51.868Z</dcterms:created>
  <dcterms:modified xsi:type="dcterms:W3CDTF">2026-04-26T02:06:51.868Z</dcterms:modified>
</cp:coreProperties>
</file>

<file path=docProps/custom.xml><?xml version="1.0" encoding="utf-8"?>
<Properties xmlns="http://schemas.openxmlformats.org/officeDocument/2006/custom-properties" xmlns:vt="http://schemas.openxmlformats.org/officeDocument/2006/docPropsVTypes"/>
</file>