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40"/>
        </w:rPr>
        <w:t>FEATURE-DRIVEN FALL-RISK REDUCTION</w:t>
        <w:br/>
        <w:t>INTERVENTIONS FOR OLDER ADULTS (60-100)</w:t>
      </w:r>
    </w:p>
    <w:p/>
    <w:p>
      <w:pPr>
        <w:jc w:val="center"/>
      </w:pPr>
      <w:r>
        <w:rPr>
          <w:i/>
          <w:sz w:val="26"/>
        </w:rPr>
        <w:t>Mapping each of the 14 model features to evidence-based actions that lower the value (or its associated risk), with citations.</w:t>
      </w:r>
    </w:p>
    <w:p/>
    <w:p>
      <w:pPr>
        <w:jc w:val="center"/>
      </w:pPr>
      <w:r>
        <w:rPr>
          <w:sz w:val="22"/>
        </w:rPr>
        <w:t>Prepared for: Elderly Fall Risk Analysis — Group 3 Internship</w:t>
        <w:br/>
        <w:t>Document type: Literature review with feature-level recommendations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1. Executive Summary</w:t>
      </w:r>
    </w:p>
    <w:p>
      <w:r>
        <w:rPr>
          <w:rFonts w:ascii="Calibri" w:hAnsi="Calibri"/>
          <w:b w:val="0"/>
          <w:i w:val="0"/>
          <w:sz w:val="22"/>
        </w:rPr>
        <w:t>This document maps each of the 14 features used by the Elderly Fall Risk Analysis model (11 original features + 3 newly added extended-fall-detail fields) to evidence-based actions that reduce the feature's value (or, for irreversible features, the associated future fall risk). Each action is supported by peer-reviewed evidence (Cochrane systematic reviews, AGS / NICE / CDC guidelines, or large meta-analyses). Every recommendation is followed by its reference(s).</w:t>
      </w:r>
    </w:p>
    <w:p>
      <w:r>
        <w:rPr>
          <w:rFonts w:ascii="Calibri" w:hAnsi="Calibri"/>
          <w:b w:val="0"/>
          <w:i w:val="0"/>
          <w:sz w:val="22"/>
        </w:rPr>
        <w:t>Features are grouped into three categories:</w:t>
      </w:r>
    </w:p>
    <w:p>
      <w:pPr>
        <w:pStyle w:val="ListBullet"/>
        <w:ind w:left="340"/>
      </w:pPr>
      <w:r>
        <w:rPr>
          <w:sz w:val="22"/>
        </w:rPr>
        <w:t>DIRECTLY REDUCIBLE: the value itself can be lowered by an intervention (e.g., tug_seconds, polypharmacy_count, orthostatic_hypotension).</w:t>
      </w:r>
    </w:p>
    <w:p>
      <w:pPr>
        <w:pStyle w:val="ListBullet"/>
        <w:ind w:left="340"/>
      </w:pPr>
      <w:r>
        <w:rPr>
          <w:sz w:val="22"/>
        </w:rPr>
        <w:t>INDIRECTLY REDUCIBLE: the feature reflects past events (e.g., past_falls, age) — the value cannot change, but FUTURE FALL RISK can be lowered through multifactorial assessment.</w:t>
      </w:r>
    </w:p>
    <w:p>
      <w:pPr>
        <w:pStyle w:val="ListBullet"/>
        <w:ind w:left="340"/>
      </w:pPr>
      <w:r>
        <w:rPr>
          <w:sz w:val="22"/>
        </w:rPr>
        <w:t>ROUTING FLAGS: the feature does not trigger the standard balance-training pathway but routes to a medical workup (e.g., syncopal_fall → cardiology/syncope clinic; fall_cluster_30d → acute-trigger investigation).</w:t>
      </w:r>
    </w:p>
    <w:p>
      <w:r>
        <w:rPr>
          <w:rFonts w:ascii="Calibri" w:hAnsi="Calibri"/>
          <w:b w:val="0"/>
          <w:i w:val="0"/>
          <w:sz w:val="22"/>
        </w:rPr>
        <w:t>Cross-cutting interventions (balance/strength exercise, home fall-hazard reduction, multifactorial assessment, footwear, vitamin D, vision) are listed in Section 3 and are usually delivered in combination with the feature-specific actions below.</w:t>
      </w:r>
    </w:p>
    <w:p>
      <w:pPr>
        <w:pStyle w:val="Heading1"/>
      </w:pPr>
      <w:r>
        <w:rPr>
          <w:rFonts w:ascii="Calibri" w:hAnsi="Calibri"/>
        </w:rPr>
        <w:t>2. Methodology and Evidence Hierarchy</w:t>
      </w:r>
    </w:p>
    <w:p>
      <w:r>
        <w:rPr>
          <w:rFonts w:ascii="Calibri" w:hAnsi="Calibri"/>
          <w:b w:val="0"/>
          <w:i w:val="0"/>
          <w:sz w:val="22"/>
        </w:rPr>
        <w:t>For each feature, I asked: "If this value is elevated, what is the best evidence-based action to lower it (or lower the risk it represents)?" Recommendations are drawn from, in priority order:</w:t>
      </w:r>
    </w:p>
    <w:p>
      <w:pPr>
        <w:pStyle w:val="ListNumber"/>
      </w:pPr>
      <w:r>
        <w:t>Cochrane systematic reviews of fall-prevention interventions</w:t>
      </w:r>
    </w:p>
    <w:p>
      <w:pPr>
        <w:pStyle w:val="ListNumber"/>
      </w:pPr>
      <w:r>
        <w:t>Existing clinical practice guidelines (CDC STEADI 2019, AGS Beers 2023, NICE CG161 2013, AGS/BGS 2010)</w:t>
      </w:r>
    </w:p>
    <w:p>
      <w:pPr>
        <w:pStyle w:val="ListNumber"/>
      </w:pPr>
      <w:r>
        <w:t>Recent meta-analyses (2017-2024) on specific risk factors</w:t>
      </w:r>
    </w:p>
    <w:p>
      <w:pPr>
        <w:pStyle w:val="ListNumber"/>
      </w:pPr>
      <w:r>
        <w:t>Validated clinical assessment tools with published normative values for 60-100</w:t>
      </w:r>
    </w:p>
    <w:p>
      <w:r>
        <w:rPr>
          <w:rFonts w:ascii="Calibri" w:hAnsi="Calibri"/>
          <w:b w:val="0"/>
          <w:i w:val="0"/>
          <w:sz w:val="22"/>
        </w:rPr>
        <w:t>Evidence-grade convention used:</w:t>
      </w:r>
    </w:p>
    <w:p>
      <w:pPr>
        <w:ind w:left="454" w:right="454"/>
      </w:pPr>
      <w:r>
        <w:rPr>
          <w:i/>
          <w:color w:val="444444"/>
          <w:sz w:val="21"/>
        </w:rPr>
        <w:t>Level A: meta-analysis or Cochrane systematic review (highest).</w:t>
        <w:br/>
        <w:t>Level B: large prospective cohort or validated clinical guideline.</w:t>
        <w:br/>
        <w:t>Level C: smaller trial, expert consensus, or established assessment tool.</w:t>
      </w:r>
    </w:p>
    <w:p>
      <w:pPr>
        <w:pStyle w:val="Heading1"/>
      </w:pPr>
      <w:r>
        <w:rPr>
          <w:rFonts w:ascii="Calibri" w:hAnsi="Calibri"/>
        </w:rPr>
        <w:t>3. Cross-Cutting Interventions (apply across most features)</w:t>
      </w:r>
    </w:p>
    <w:p>
      <w:pPr>
        <w:pStyle w:val="Heading2"/>
      </w:pPr>
      <w:r>
        <w:rPr>
          <w:rFonts w:ascii="Calibri" w:hAnsi="Calibri"/>
        </w:rPr>
        <w:t>3.1 Exercise that challenges balance and strength</w:t>
      </w:r>
    </w:p>
    <w:p>
      <w:r>
        <w:rPr>
          <w:rFonts w:ascii="Calibri" w:hAnsi="Calibri"/>
          <w:b w:val="0"/>
          <w:i w:val="0"/>
          <w:sz w:val="22"/>
        </w:rPr>
        <w:t>Sherrington et al. 2017 meta-analysis (88 trials, n=19,478) found exercise reduced fall rate by 21% overall (pooled RaR 0.79, 95% CI 0.73-0.85); programmes challenging balance at &gt;3 h/week reduced falls by 39% (RaR 0.61, 95% CI 0.53-0.72). Effective options: Otago Exercise Programme (OEP), Tai Chi (Yang or Sun style), or individually-prescribed balance + strength training. Evidence: A.</w:t>
      </w:r>
    </w:p>
    <w:p>
      <w:pPr>
        <w:pStyle w:val="Heading2"/>
      </w:pPr>
      <w:r>
        <w:rPr>
          <w:rFonts w:ascii="Calibri" w:hAnsi="Calibri"/>
        </w:rPr>
        <w:t>3.2 Home fall-hazard reduction</w:t>
      </w:r>
    </w:p>
    <w:p>
      <w:r>
        <w:rPr>
          <w:rFonts w:ascii="Calibri" w:hAnsi="Calibri"/>
          <w:b w:val="0"/>
          <w:i w:val="0"/>
          <w:sz w:val="22"/>
        </w:rPr>
        <w:t>Clemson et al. 2023 Cochrane review (22 studies, n=8,463) found home fall-hazard reduction lowers fall rate by 26% (95% CI 9-39%) overall, and by 38% in higher-risk individuals. Five core actions: declutter, improve lighting, add handrails to stairs, install non-slip strips on outdoor steps, use appropriate footwear. Delivery is most effective via an occupational-therapist home visit. Evidence: A.</w:t>
      </w:r>
    </w:p>
    <w:p>
      <w:pPr>
        <w:pStyle w:val="Heading2"/>
      </w:pPr>
      <w:r>
        <w:rPr>
          <w:rFonts w:ascii="Calibri" w:hAnsi="Calibri"/>
        </w:rPr>
        <w:t>3.3 Multifactorial assessment + intervention</w:t>
      </w:r>
    </w:p>
    <w:p>
      <w:r>
        <w:rPr>
          <w:rFonts w:ascii="Calibri" w:hAnsi="Calibri"/>
          <w:b w:val="0"/>
          <w:i w:val="0"/>
          <w:sz w:val="22"/>
        </w:rPr>
        <w:t>Gillespie et al. 2012 Cochrane review (159 trials, n=79,193): multifactorial assessment and intervention reduced the rate of falls by 24% (RaR 0.76, 95% CI 0.67-0.86; 19 trials, 9,503 participants). The CDC STEADI 2019 algorithm is the operational template. Evidence: A.</w:t>
      </w:r>
    </w:p>
    <w:p>
      <w:pPr>
        <w:pStyle w:val="Heading2"/>
      </w:pPr>
      <w:r>
        <w:rPr>
          <w:rFonts w:ascii="Calibri" w:hAnsi="Calibri"/>
        </w:rPr>
        <w:t>3.4 Vitamin D</w:t>
      </w:r>
    </w:p>
    <w:p>
      <w:r>
        <w:rPr>
          <w:rFonts w:ascii="Calibri" w:hAnsi="Calibri"/>
          <w:b w:val="0"/>
          <w:i w:val="0"/>
          <w:sz w:val="22"/>
        </w:rPr>
        <w:t>Gillespie 2012 Cochrane found no overall benefit of vitamin D supplementation for fall prevention (RaR 1.00, 95% CI 0.90-1.11), but a benefit exists in those with baseline vitamin D deficiency. Recommendation: screen 25(OH)D once at 60-65; supplement only if deficient (&lt;20 ng/mL), at 800-1000 IU/day. Evidence: B.</w:t>
      </w:r>
    </w:p>
    <w:p>
      <w:pPr>
        <w:pStyle w:val="Heading2"/>
      </w:pPr>
      <w:r>
        <w:rPr>
          <w:rFonts w:ascii="Calibri" w:hAnsi="Calibri"/>
        </w:rPr>
        <w:t>3.5 Footwear and foot care</w:t>
      </w:r>
    </w:p>
    <w:p>
      <w:r>
        <w:rPr>
          <w:rFonts w:ascii="Calibri" w:hAnsi="Calibri"/>
          <w:b w:val="0"/>
          <w:i w:val="0"/>
          <w:sz w:val="22"/>
        </w:rPr>
        <w:t>Menz 2019 systematic review: properly-fitted shoes with a high collar, thin firm midsole, slip-resistant tread, and lace / Velcro closure reduce fall risk. Disabling foot pain benefits from multifaceted podiatry care (Cockayne 2014; Spink 2018). Evidence: B.</w:t>
      </w:r>
    </w:p>
    <w:p>
      <w:pPr>
        <w:pStyle w:val="Heading2"/>
      </w:pPr>
      <w:r>
        <w:rPr>
          <w:rFonts w:ascii="Calibri" w:hAnsi="Calibri"/>
        </w:rPr>
        <w:t>3.6 Vision</w:t>
      </w:r>
    </w:p>
    <w:p>
      <w:r>
        <w:rPr>
          <w:rFonts w:ascii="Calibri" w:hAnsi="Calibri"/>
          <w:b w:val="0"/>
          <w:i w:val="0"/>
          <w:sz w:val="22"/>
        </w:rPr>
        <w:t>Gillespie 2012 Cochrane: first-eye cataract surgery reduced fall rate by 34% in women (RaR 0.66, 95% CI 0.45-0.95). Annual eye examination with refraction is recommended. Avoid multifocal lenses while walking outside (single-distance distance glasses are safer for older adults with presbyopia). Evidence: A.</w:t>
      </w:r>
    </w:p>
    <w:p>
      <w:pPr>
        <w:pStyle w:val="Heading2"/>
      </w:pPr>
      <w:r>
        <w:rPr>
          <w:rFonts w:ascii="Calibri" w:hAnsi="Calibri"/>
        </w:rPr>
        <w:t>3.7 Vitamin D + calcium + bone health (related but distinct)</w:t>
      </w:r>
    </w:p>
    <w:p>
      <w:r>
        <w:rPr>
          <w:rFonts w:ascii="Calibri" w:hAnsi="Calibri"/>
          <w:b w:val="0"/>
          <w:i w:val="0"/>
          <w:sz w:val="22"/>
        </w:rPr>
        <w:t>Beyond fall prevention per se, older women (especially post-menopausal) and men with risk factors should be screened for osteoporosis and treated per WHO / NOF guidelines. While this does not directly lower the model's fall-risk features, it lowers the consequence (fracture) when a fall occurs. Evidence: B.</w:t>
      </w:r>
    </w:p>
    <w:p>
      <w:pPr>
        <w:pStyle w:val="Heading1"/>
      </w:pPr>
      <w:r>
        <w:rPr>
          <w:rFonts w:ascii="Calibri" w:hAnsi="Calibri"/>
        </w:rPr>
        <w:t>4. Feature-by-Feature Reduction Actions</w:t>
      </w:r>
    </w:p>
    <w:p>
      <w:pPr>
        <w:pStyle w:val="Heading2"/>
      </w:pPr>
      <w:r>
        <w:rPr>
          <w:rFonts w:ascii="Calibri" w:hAnsi="Calibri"/>
        </w:rPr>
        <w:t>4.1 Feature: age (range 60-100)</w:t>
      </w:r>
    </w:p>
    <w:p>
      <w:r>
        <w:rPr>
          <w:rFonts w:ascii="Calibri" w:hAnsi="Calibri"/>
          <w:b w:val="0"/>
          <w:i/>
          <w:sz w:val="22"/>
        </w:rPr>
        <w:t>Category: INDIRECTLY REDUCIBLE (age is irreversible).</w:t>
      </w:r>
    </w:p>
    <w:p>
      <w:r>
        <w:rPr>
          <w:rFonts w:ascii="Calibri" w:hAnsi="Calibri"/>
          <w:b w:val="0"/>
          <w:i w:val="0"/>
          <w:sz w:val="22"/>
        </w:rPr>
        <w:t>Elevated direction: higher age (the risk rises with each year, particularly past 75).</w:t>
      </w:r>
    </w:p>
    <w:p>
      <w:r>
        <w:rPr>
          <w:rFonts w:ascii="Calibri" w:hAnsi="Calibri"/>
          <w:b w:val="0"/>
          <w:i w:val="0"/>
          <w:sz w:val="22"/>
        </w:rPr>
        <w:t>Action (to lower FUTURE FALL RISK, not age itself):</w:t>
      </w:r>
    </w:p>
    <w:p>
      <w:pPr>
        <w:pStyle w:val="ListBullet"/>
        <w:ind w:left="340"/>
      </w:pPr>
      <w:r>
        <w:rPr>
          <w:sz w:val="22"/>
        </w:rPr>
        <w:t>Engage the resident in balance/strength exercise (Section 3.1) - the protective effect of exercise is preserved across all ages 60-100, including the very old (Sherrington 2017).</w:t>
      </w:r>
    </w:p>
    <w:p>
      <w:pPr>
        <w:pStyle w:val="ListBullet"/>
        <w:ind w:left="340"/>
      </w:pPr>
      <w:r>
        <w:rPr>
          <w:sz w:val="22"/>
        </w:rPr>
        <w:t>Annual STEADI-style screening from age 60 (CDC STEADI 2019).</w:t>
      </w:r>
    </w:p>
    <w:p>
      <w:pPr>
        <w:pStyle w:val="ListBullet"/>
        <w:ind w:left="340"/>
      </w:pPr>
      <w:r>
        <w:rPr>
          <w:sz w:val="22"/>
        </w:rPr>
        <w:t>Optimize all other modifiable features (medications, vision, orthostatics, home).</w:t>
      </w:r>
    </w:p>
    <w:p>
      <w:r>
        <w:rPr>
          <w:rFonts w:ascii="Calibri" w:hAnsi="Calibri"/>
          <w:b w:val="0"/>
          <w:i w:val="0"/>
          <w:sz w:val="22"/>
        </w:rPr>
        <w:t>Evidence: A (Sherrington 2017; CDC STEADI 2019).</w:t>
      </w:r>
    </w:p>
    <w:p>
      <w:pPr>
        <w:pStyle w:val="Heading2"/>
      </w:pPr>
      <w:r>
        <w:rPr>
          <w:rFonts w:ascii="Calibri" w:hAnsi="Calibri"/>
        </w:rPr>
        <w:t>4.2 Feature: sex (M / F)</w:t>
      </w:r>
    </w:p>
    <w:p>
      <w:r>
        <w:rPr>
          <w:rFonts w:ascii="Calibri" w:hAnsi="Calibri"/>
          <w:b w:val="0"/>
          <w:i/>
          <w:sz w:val="22"/>
        </w:rPr>
        <w:t>Category: INDIRECTLY REDUCIBLE (sex is fixed).</w:t>
      </w:r>
    </w:p>
    <w:p>
      <w:r>
        <w:rPr>
          <w:rFonts w:ascii="Calibri" w:hAnsi="Calibri"/>
          <w:b w:val="0"/>
          <w:i w:val="0"/>
          <w:sz w:val="22"/>
        </w:rPr>
        <w:t>Elevated direction: female sex carries slightly higher fall risk (epidemiology), but the effect is mediated by other modifiable factors.</w:t>
      </w:r>
    </w:p>
    <w:p>
      <w:r>
        <w:rPr>
          <w:rFonts w:ascii="Calibri" w:hAnsi="Calibri"/>
          <w:b w:val="0"/>
          <w:i w:val="0"/>
          <w:sz w:val="22"/>
        </w:rPr>
        <w:t>Action:</w:t>
      </w:r>
    </w:p>
    <w:p>
      <w:pPr>
        <w:pStyle w:val="ListBullet"/>
        <w:ind w:left="340"/>
      </w:pPr>
      <w:r>
        <w:rPr>
          <w:sz w:val="22"/>
        </w:rPr>
        <w:t>Women: screen for urinary urgency and provide bedside commode; assess bone density and fall consequence (post-menopausal osteoporosis).</w:t>
      </w:r>
    </w:p>
    <w:p>
      <w:pPr>
        <w:pStyle w:val="ListBullet"/>
        <w:ind w:left="340"/>
      </w:pPr>
      <w:r>
        <w:rPr>
          <w:sz w:val="22"/>
        </w:rPr>
        <w:t>Men: assess alcohol intake; check for orthostatic hypotension after antihypertensive titration.</w:t>
      </w:r>
    </w:p>
    <w:p>
      <w:pPr>
        <w:pStyle w:val="ListBullet"/>
        <w:ind w:left="340"/>
      </w:pPr>
      <w:r>
        <w:rPr>
          <w:sz w:val="22"/>
        </w:rPr>
        <w:t>Both: same balance/strength training dose.</w:t>
      </w:r>
    </w:p>
    <w:p>
      <w:r>
        <w:rPr>
          <w:rFonts w:ascii="Calibri" w:hAnsi="Calibri"/>
          <w:b w:val="0"/>
          <w:i w:val="0"/>
          <w:sz w:val="22"/>
        </w:rPr>
        <w:t>Evidence: B (WHO Falls 2021; CDC STEADI 2019).</w:t>
      </w:r>
    </w:p>
    <w:p>
      <w:pPr>
        <w:pStyle w:val="Heading2"/>
      </w:pPr>
      <w:r>
        <w:rPr>
          <w:rFonts w:ascii="Calibri" w:hAnsi="Calibri"/>
        </w:rPr>
        <w:t>4.3 Feature: night_bed_exits (0-8 per night)</w:t>
      </w:r>
    </w:p>
    <w:p>
      <w:r>
        <w:rPr>
          <w:rFonts w:ascii="Calibri" w:hAnsi="Calibri"/>
          <w:b w:val="0"/>
          <w:i/>
          <w:sz w:val="22"/>
        </w:rPr>
        <w:t>Category: DIRECTLY REDUCIBLE.</w:t>
      </w:r>
    </w:p>
    <w:p>
      <w:r>
        <w:rPr>
          <w:rFonts w:ascii="Calibri" w:hAnsi="Calibri"/>
          <w:b w:val="0"/>
          <w:i w:val="0"/>
          <w:sz w:val="22"/>
        </w:rPr>
        <w:t>Elevated direction: &gt;= 3 per night is associated with a 1.4-fold increase in falling.</w:t>
      </w:r>
    </w:p>
    <w:p>
      <w:r>
        <w:rPr>
          <w:rFonts w:ascii="Calibri" w:hAnsi="Calibri"/>
          <w:b w:val="0"/>
          <w:i w:val="0"/>
          <w:sz w:val="22"/>
        </w:rPr>
        <w:t>Action:</w:t>
      </w:r>
    </w:p>
    <w:p>
      <w:pPr>
        <w:pStyle w:val="ListBullet"/>
        <w:ind w:left="340"/>
      </w:pPr>
      <w:r>
        <w:rPr>
          <w:sz w:val="22"/>
        </w:rPr>
        <w:t>Limit fluid intake 2 hours before bed; avoid evening caffeine and alcohol.</w:t>
      </w:r>
    </w:p>
    <w:p>
      <w:pPr>
        <w:pStyle w:val="ListBullet"/>
        <w:ind w:left="340"/>
      </w:pPr>
      <w:r>
        <w:rPr>
          <w:sz w:val="22"/>
        </w:rPr>
        <w:t>Place a bedside commode for any resident with &gt;= 3 night exits/night.</w:t>
      </w:r>
    </w:p>
    <w:p>
      <w:pPr>
        <w:pStyle w:val="ListBullet"/>
        <w:ind w:left="340"/>
      </w:pPr>
      <w:r>
        <w:rPr>
          <w:sz w:val="22"/>
        </w:rPr>
        <w:t>Install a motion-activated night light along the bed-to-bathroom route.</w:t>
      </w:r>
    </w:p>
    <w:p>
      <w:pPr>
        <w:pStyle w:val="ListBullet"/>
        <w:ind w:left="340"/>
      </w:pPr>
      <w:r>
        <w:rPr>
          <w:sz w:val="22"/>
        </w:rPr>
        <w:t>Clear the path of rugs and cords; remove slippers that slide on smooth floors; wear non-slip slippers at night.</w:t>
      </w:r>
    </w:p>
    <w:p>
      <w:pPr>
        <w:pStyle w:val="ListBullet"/>
        <w:ind w:left="340"/>
      </w:pPr>
      <w:r>
        <w:rPr>
          <w:sz w:val="22"/>
        </w:rPr>
        <w:t>Men: refer to urology for benign prostatic hyperplasia evaluation.</w:t>
      </w:r>
    </w:p>
    <w:p>
      <w:pPr>
        <w:pStyle w:val="ListBullet"/>
        <w:ind w:left="340"/>
      </w:pPr>
      <w:r>
        <w:rPr>
          <w:sz w:val="22"/>
        </w:rPr>
        <w:t>Women: pelvic-floor physiotherapy and review diuretics for overactive bladder.</w:t>
      </w:r>
    </w:p>
    <w:p>
      <w:r>
        <w:rPr>
          <w:rFonts w:ascii="Calibri" w:hAnsi="Calibri"/>
          <w:b w:val="0"/>
          <w:i w:val="0"/>
          <w:sz w:val="22"/>
        </w:rPr>
        <w:t>Evidence: B (Kim 2017 PLoS One; Dynseo 2026; CDC STEADI 2019).</w:t>
      </w:r>
    </w:p>
    <w:p>
      <w:pPr>
        <w:pStyle w:val="Heading2"/>
      </w:pPr>
      <w:r>
        <w:rPr>
          <w:rFonts w:ascii="Calibri" w:hAnsi="Calibri"/>
        </w:rPr>
        <w:t>4.4 Feature: night_activity_duration_min (0-120 min)</w:t>
      </w:r>
    </w:p>
    <w:p>
      <w:r>
        <w:rPr>
          <w:rFonts w:ascii="Calibri" w:hAnsi="Calibri"/>
          <w:b w:val="0"/>
          <w:i/>
          <w:sz w:val="22"/>
        </w:rPr>
        <w:t>Category: DIRECTLY REDUCIBLE (treat the cause of the wakefulness).</w:t>
      </w:r>
    </w:p>
    <w:p>
      <w:r>
        <w:rPr>
          <w:rFonts w:ascii="Calibri" w:hAnsi="Calibri"/>
          <w:b w:val="0"/>
          <w:i w:val="0"/>
          <w:sz w:val="22"/>
        </w:rPr>
        <w:t>Elevated direction: &gt; 60 min indicates sleep fragmentation, which independently raises fall risk ~25-30%.</w:t>
      </w:r>
    </w:p>
    <w:p>
      <w:r>
        <w:rPr>
          <w:rFonts w:ascii="Calibri" w:hAnsi="Calibri"/>
          <w:b w:val="0"/>
          <w:i w:val="0"/>
          <w:sz w:val="22"/>
        </w:rPr>
        <w:t>Action:</w:t>
      </w:r>
    </w:p>
    <w:p>
      <w:pPr>
        <w:pStyle w:val="ListBullet"/>
        <w:ind w:left="340"/>
      </w:pPr>
      <w:r>
        <w:rPr>
          <w:sz w:val="22"/>
        </w:rPr>
        <w:t>Screen for obstructive sleep apnea with STOP-BANG; refer for polysomnography if positive - CPAP or mandibular advancement are highly effective in 60-70 year-olds.</w:t>
      </w:r>
    </w:p>
    <w:p>
      <w:pPr>
        <w:pStyle w:val="ListBullet"/>
        <w:ind w:left="340"/>
      </w:pPr>
      <w:r>
        <w:rPr>
          <w:sz w:val="22"/>
        </w:rPr>
        <w:t>Screen for insomnia and offer CBT-I (cognitive behavioural therapy for insomnia) as first-line (AAFP 2024).</w:t>
      </w:r>
    </w:p>
    <w:p>
      <w:pPr>
        <w:pStyle w:val="ListBullet"/>
        <w:ind w:left="340"/>
      </w:pPr>
      <w:r>
        <w:rPr>
          <w:sz w:val="22"/>
        </w:rPr>
        <w:t>Assess and treat uncontrolled musculoskeletal pain - a common cause of night waking in 60-70 year-olds.</w:t>
      </w:r>
    </w:p>
    <w:p>
      <w:pPr>
        <w:pStyle w:val="ListBullet"/>
        <w:ind w:left="340"/>
      </w:pPr>
      <w:r>
        <w:rPr>
          <w:sz w:val="22"/>
        </w:rPr>
        <w:t>Sleep hygiene: cool room, no screens 1 h before bed, consistent schedule.</w:t>
      </w:r>
    </w:p>
    <w:p>
      <w:r>
        <w:rPr>
          <w:rFonts w:ascii="Calibri" w:hAnsi="Calibri"/>
          <w:b w:val="0"/>
          <w:i w:val="0"/>
          <w:sz w:val="22"/>
        </w:rPr>
        <w:t>Evidence: B (Stone 2008; AAFP 2024).</w:t>
      </w:r>
    </w:p>
    <w:p>
      <w:pPr>
        <w:pStyle w:val="Heading2"/>
      </w:pPr>
      <w:r>
        <w:rPr>
          <w:rFonts w:ascii="Calibri" w:hAnsi="Calibri"/>
        </w:rPr>
        <w:t>4.5 Feature: past_falls (0-5 in the past year)</w:t>
      </w:r>
    </w:p>
    <w:p>
      <w:r>
        <w:rPr>
          <w:rFonts w:ascii="Calibri" w:hAnsi="Calibri"/>
          <w:b w:val="0"/>
          <w:i/>
          <w:sz w:val="22"/>
        </w:rPr>
        <w:t>Category: INDIRECTLY REDUCIBLE (past falls cannot be undone), but the strongest single predictor of future falls.</w:t>
      </w:r>
    </w:p>
    <w:p>
      <w:r>
        <w:rPr>
          <w:rFonts w:ascii="Calibri" w:hAnsi="Calibri"/>
          <w:b w:val="0"/>
          <w:i w:val="0"/>
          <w:sz w:val="22"/>
        </w:rPr>
        <w:t>Elevated direction: any fall in the past year (1+) doubles short-term fall risk; &gt;= 2 in 12 months defines a recurrent faller.</w:t>
      </w:r>
    </w:p>
    <w:p>
      <w:r>
        <w:rPr>
          <w:rFonts w:ascii="Calibri" w:hAnsi="Calibri"/>
          <w:b w:val="0"/>
          <w:i w:val="0"/>
          <w:sz w:val="22"/>
        </w:rPr>
        <w:t>Action: any past_falls &gt;= 1 triggers a full STEADI multifactorial assessment (the resident is high-priority, not high-fatality).</w:t>
      </w:r>
    </w:p>
    <w:p>
      <w:pPr>
        <w:pStyle w:val="ListBullet"/>
        <w:ind w:left="340"/>
      </w:pPr>
      <w:r>
        <w:rPr>
          <w:sz w:val="22"/>
        </w:rPr>
        <w:t>TUG, 30-second chair stand, four-stage balance test.</w:t>
      </w:r>
    </w:p>
    <w:p>
      <w:pPr>
        <w:pStyle w:val="ListBullet"/>
        <w:ind w:left="340"/>
      </w:pPr>
      <w:r>
        <w:rPr>
          <w:sz w:val="22"/>
        </w:rPr>
        <w:t>Orthostatic blood pressure (supine -&gt; 1 min and 3 min standing).</w:t>
      </w:r>
    </w:p>
    <w:p>
      <w:pPr>
        <w:pStyle w:val="ListBullet"/>
        <w:ind w:left="340"/>
      </w:pPr>
      <w:r>
        <w:rPr>
          <w:sz w:val="22"/>
        </w:rPr>
        <w:t>Medication review focused on FRIDs (see 4.7).</w:t>
      </w:r>
    </w:p>
    <w:p>
      <w:pPr>
        <w:pStyle w:val="ListBullet"/>
        <w:ind w:left="340"/>
      </w:pPr>
      <w:r>
        <w:rPr>
          <w:sz w:val="22"/>
        </w:rPr>
        <w:t>Vision acuity (Snellen) and cataract check.</w:t>
      </w:r>
    </w:p>
    <w:p>
      <w:pPr>
        <w:pStyle w:val="ListBullet"/>
        <w:ind w:left="340"/>
      </w:pPr>
      <w:r>
        <w:rPr>
          <w:sz w:val="22"/>
        </w:rPr>
        <w:t>Feet/footwear check (see 3.5).</w:t>
      </w:r>
    </w:p>
    <w:p>
      <w:pPr>
        <w:pStyle w:val="ListBullet"/>
        <w:ind w:left="340"/>
      </w:pPr>
      <w:r>
        <w:rPr>
          <w:sz w:val="22"/>
        </w:rPr>
        <w:t>Vitamin D status review (see 3.4).</w:t>
      </w:r>
    </w:p>
    <w:p>
      <w:pPr>
        <w:pStyle w:val="ListBullet"/>
        <w:ind w:left="340"/>
      </w:pPr>
      <w:r>
        <w:rPr>
          <w:sz w:val="22"/>
        </w:rPr>
        <w:t>Home-hazard checklist or OT visit (see 3.2).</w:t>
      </w:r>
    </w:p>
    <w:p>
      <w:r>
        <w:rPr>
          <w:rFonts w:ascii="Calibri" w:hAnsi="Calibri"/>
          <w:b w:val="0"/>
          <w:i w:val="0"/>
          <w:sz w:val="22"/>
        </w:rPr>
        <w:t>Recurrent fallers (&gt;= 2 in 12 months): refer to a falls clinic or geriatrician (Jehu 2021 found 33-53% elevated risk across frailty domains).</w:t>
      </w:r>
    </w:p>
    <w:p>
      <w:r>
        <w:rPr>
          <w:rFonts w:ascii="Calibri" w:hAnsi="Calibri"/>
          <w:b w:val="0"/>
          <w:i w:val="0"/>
          <w:sz w:val="22"/>
        </w:rPr>
        <w:t>Evidence: A (Gates 2008; Jehu 2021; CDC STEADI 2019).</w:t>
      </w:r>
    </w:p>
    <w:p>
      <w:pPr>
        <w:pStyle w:val="Heading2"/>
      </w:pPr>
      <w:r>
        <w:rPr>
          <w:rFonts w:ascii="Calibri" w:hAnsi="Calibri"/>
        </w:rPr>
        <w:t>4.6 Feature: mobility_score (1-10; higher = better)</w:t>
      </w:r>
    </w:p>
    <w:p>
      <w:r>
        <w:rPr>
          <w:rFonts w:ascii="Calibri" w:hAnsi="Calibri"/>
          <w:b w:val="0"/>
          <w:i/>
          <w:sz w:val="22"/>
        </w:rPr>
        <w:t>Category: DIRECTLY IMPROVABLE through exercise.</w:t>
      </w:r>
    </w:p>
    <w:p>
      <w:r>
        <w:rPr>
          <w:rFonts w:ascii="Calibri" w:hAnsi="Calibri"/>
          <w:b w:val="0"/>
          <w:i w:val="0"/>
          <w:sz w:val="22"/>
        </w:rPr>
        <w:t>Elevated direction: score &lt;= 5 indicates reduced balance/mobility.</w:t>
      </w:r>
    </w:p>
    <w:p>
      <w:r>
        <w:rPr>
          <w:rFonts w:ascii="Calibri" w:hAnsi="Calibri"/>
          <w:b w:val="0"/>
          <w:i w:val="0"/>
          <w:sz w:val="22"/>
        </w:rPr>
        <w:t>Action: prescribe a structured balance-and-strength programme (Section 3.1).</w:t>
      </w:r>
    </w:p>
    <w:p>
      <w:pPr>
        <w:pStyle w:val="ListBullet"/>
        <w:ind w:left="340"/>
      </w:pPr>
      <w:r>
        <w:rPr>
          <w:sz w:val="22"/>
        </w:rPr>
        <w:t>Otago Exercise Programme (OEP): 5 strength + 4 balance exercises, at least 3 x per week (Level A evidence; Gillespie 2012).</w:t>
      </w:r>
    </w:p>
    <w:p>
      <w:pPr>
        <w:pStyle w:val="ListBullet"/>
        <w:ind w:left="340"/>
      </w:pPr>
      <w:r>
        <w:rPr>
          <w:sz w:val="22"/>
        </w:rPr>
        <w:t>Tai Chi (Yang or Sun style), &gt;= 1 h per session, &gt;= 3 x per week - Cochrane RR 0.71 for risk of falling.</w:t>
      </w:r>
    </w:p>
    <w:p>
      <w:pPr>
        <w:pStyle w:val="ListBullet"/>
        <w:ind w:left="340"/>
      </w:pPr>
      <w:r>
        <w:rPr>
          <w:sz w:val="22"/>
        </w:rPr>
        <w:t>Dose: at least 3 h per week of balance-challenging exercise to maximize effect (Sherrington 2017: RaR 0.61).</w:t>
      </w:r>
    </w:p>
    <w:p>
      <w:pPr>
        <w:pStyle w:val="ListBullet"/>
        <w:ind w:left="340"/>
      </w:pPr>
      <w:r>
        <w:rPr>
          <w:sz w:val="22"/>
        </w:rPr>
        <w:t>Refer to a physiotherapist for a 12-week individualised programme if mobility_score &lt;= 5.</w:t>
      </w:r>
    </w:p>
    <w:p>
      <w:pPr>
        <w:pStyle w:val="ListBullet"/>
        <w:ind w:left="340"/>
      </w:pPr>
      <w:r>
        <w:rPr>
          <w:sz w:val="22"/>
        </w:rPr>
        <w:t>Add 30 min/day of brisk walking for cardiovascular fitness (additive, not a substitute).</w:t>
      </w:r>
    </w:p>
    <w:p>
      <w:r>
        <w:rPr>
          <w:rFonts w:ascii="Calibri" w:hAnsi="Calibri"/>
          <w:b w:val="0"/>
          <w:i w:val="0"/>
          <w:sz w:val="22"/>
        </w:rPr>
        <w:t>Evidence: A (Sherrington 2017; Gillespie 2012).</w:t>
      </w:r>
    </w:p>
    <w:p>
      <w:pPr>
        <w:pStyle w:val="Heading2"/>
      </w:pPr>
      <w:r>
        <w:rPr>
          <w:rFonts w:ascii="Calibri" w:hAnsi="Calibri"/>
        </w:rPr>
        <w:t>4.7 Feature: high_risk_medication (0/1)</w:t>
      </w:r>
    </w:p>
    <w:p>
      <w:r>
        <w:rPr>
          <w:rFonts w:ascii="Calibri" w:hAnsi="Calibri"/>
          <w:b w:val="0"/>
          <w:i/>
          <w:sz w:val="22"/>
        </w:rPr>
        <w:t>Category: DIRECTLY REDUCIBLE through deprescribing.</w:t>
      </w:r>
    </w:p>
    <w:p>
      <w:r>
        <w:rPr>
          <w:rFonts w:ascii="Calibri" w:hAnsi="Calibri"/>
          <w:b w:val="0"/>
          <w:i w:val="0"/>
          <w:sz w:val="22"/>
        </w:rPr>
        <w:t>Elevated direction: value 1 means at least one Fall-Risk-Increasing Drug (FRID) is in use. AGS Beers 2023 + STOPP/START 2023 identify the following classes as FRIDs:</w:t>
      </w:r>
    </w:p>
    <w:p>
      <w:pPr>
        <w:pStyle w:val="ListBullet"/>
        <w:ind w:left="340"/>
      </w:pPr>
      <w:r>
        <w:rPr>
          <w:sz w:val="22"/>
        </w:rPr>
        <w:t>Benzodiazepines and Z-drugs (zolpidem, zopiclone).</w:t>
      </w:r>
    </w:p>
    <w:p>
      <w:pPr>
        <w:pStyle w:val="ListBullet"/>
        <w:ind w:left="340"/>
      </w:pPr>
      <w:r>
        <w:rPr>
          <w:sz w:val="22"/>
        </w:rPr>
        <w:t>Antipsychotics (haloperidol, quetiapine, risperidone).</w:t>
      </w:r>
    </w:p>
    <w:p>
      <w:pPr>
        <w:pStyle w:val="ListBullet"/>
        <w:ind w:left="340"/>
      </w:pPr>
      <w:r>
        <w:rPr>
          <w:sz w:val="22"/>
        </w:rPr>
        <w:t>Antidepressants (TCAs, SSRIs, SNRIs).</w:t>
      </w:r>
    </w:p>
    <w:p>
      <w:pPr>
        <w:pStyle w:val="ListBullet"/>
        <w:ind w:left="340"/>
      </w:pPr>
      <w:r>
        <w:rPr>
          <w:sz w:val="22"/>
        </w:rPr>
        <w:t>Opioids.</w:t>
      </w:r>
    </w:p>
    <w:p>
      <w:pPr>
        <w:pStyle w:val="ListBullet"/>
        <w:ind w:left="340"/>
      </w:pPr>
      <w:r>
        <w:rPr>
          <w:sz w:val="22"/>
        </w:rPr>
        <w:t>Gabapentinoids (gabapentin, pregabalin).</w:t>
      </w:r>
    </w:p>
    <w:p>
      <w:pPr>
        <w:pStyle w:val="ListBullet"/>
        <w:ind w:left="340"/>
      </w:pPr>
      <w:r>
        <w:rPr>
          <w:sz w:val="22"/>
        </w:rPr>
        <w:t>Anticholinergics (first-gen antihistamines, bladder antimuscarinics).</w:t>
      </w:r>
    </w:p>
    <w:p>
      <w:pPr>
        <w:pStyle w:val="ListBullet"/>
        <w:ind w:left="340"/>
      </w:pPr>
      <w:r>
        <w:rPr>
          <w:sz w:val="22"/>
        </w:rPr>
        <w:t>Vasodilators and alpha-blockers (especially for orthostatic hypotension).</w:t>
      </w:r>
    </w:p>
    <w:p>
      <w:r>
        <w:rPr>
          <w:rFonts w:ascii="Calibri" w:hAnsi="Calibri"/>
          <w:b w:val="0"/>
          <w:i w:val="0"/>
          <w:sz w:val="22"/>
        </w:rPr>
        <w:t>Action: identify which FRID is in use, attempt deprescribing with the prescriber.</w:t>
      </w:r>
    </w:p>
    <w:p>
      <w:pPr>
        <w:pStyle w:val="ListBullet"/>
        <w:ind w:left="340"/>
      </w:pPr>
      <w:r>
        <w:rPr>
          <w:sz w:val="22"/>
        </w:rPr>
        <w:t>Gradual withdrawal of psychotropic drugs has been shown to reduce falls by 66% (Gillespie 2012).</w:t>
      </w:r>
    </w:p>
    <w:p>
      <w:pPr>
        <w:pStyle w:val="ListBullet"/>
        <w:ind w:left="340"/>
      </w:pPr>
      <w:r>
        <w:rPr>
          <w:sz w:val="22"/>
        </w:rPr>
        <w:t>Substitute safer alternatives: SSRI -&gt; mirtazapine for depression; BZD/Z-drug -&gt; CBT-I for insomnia; gabapentin -&gt; non-pharmacological options for chronic non-cancer pain.</w:t>
      </w:r>
    </w:p>
    <w:p>
      <w:pPr>
        <w:pStyle w:val="ListBullet"/>
        <w:ind w:left="340"/>
      </w:pPr>
      <w:r>
        <w:rPr>
          <w:sz w:val="22"/>
        </w:rPr>
        <w:t>Avoid combinations of &gt;= 3 CNS-active drugs (Beers 2023 strong recommendation).</w:t>
      </w:r>
    </w:p>
    <w:p>
      <w:r>
        <w:rPr>
          <w:rFonts w:ascii="Calibri" w:hAnsi="Calibri"/>
          <w:b w:val="0"/>
          <w:i w:val="0"/>
          <w:sz w:val="22"/>
        </w:rPr>
        <w:t>Evidence: A (AGS Beers 2023; STOPP/START 2023; Gillespie 2012).</w:t>
      </w:r>
    </w:p>
    <w:p>
      <w:pPr>
        <w:pStyle w:val="Heading2"/>
      </w:pPr>
      <w:r>
        <w:rPr>
          <w:rFonts w:ascii="Calibri" w:hAnsi="Calibri"/>
        </w:rPr>
        <w:t>4.8 Feature: polypharmacy_count (0-14)</w:t>
      </w:r>
    </w:p>
    <w:p>
      <w:r>
        <w:rPr>
          <w:rFonts w:ascii="Calibri" w:hAnsi="Calibri"/>
          <w:b w:val="0"/>
          <w:i/>
          <w:sz w:val="22"/>
        </w:rPr>
        <w:t>Category: DIRECTLY REDUCIBLE through medication review.</w:t>
      </w:r>
    </w:p>
    <w:p>
      <w:r>
        <w:rPr>
          <w:rFonts w:ascii="Calibri" w:hAnsi="Calibri"/>
          <w:b w:val="0"/>
          <w:i w:val="0"/>
          <w:sz w:val="22"/>
        </w:rPr>
        <w:t>Elevated direction: &gt;= 5 medications (the standard polypharmacy cut-off); &gt;= 3 CNS-active medications is a strong red flag.</w:t>
      </w:r>
    </w:p>
    <w:p>
      <w:r>
        <w:rPr>
          <w:rFonts w:ascii="Calibri" w:hAnsi="Calibri"/>
          <w:b w:val="0"/>
          <w:i w:val="0"/>
          <w:sz w:val="22"/>
        </w:rPr>
        <w:t>Action: annual structured medication review by a pharmacist or geriatrician using Beers 2023 + STOPP/START 2023.</w:t>
      </w:r>
    </w:p>
    <w:p>
      <w:pPr>
        <w:pStyle w:val="ListBullet"/>
        <w:ind w:left="340"/>
      </w:pPr>
      <w:r>
        <w:rPr>
          <w:sz w:val="22"/>
        </w:rPr>
        <w:t>Identify and stop any PIMs (Potentially Inappropriate Medications).</w:t>
      </w:r>
    </w:p>
    <w:p>
      <w:pPr>
        <w:pStyle w:val="ListBullet"/>
        <w:ind w:left="340"/>
      </w:pPr>
      <w:r>
        <w:rPr>
          <w:sz w:val="22"/>
        </w:rPr>
        <w:t>Calculate anticholinergic burden (ACB scale) and minimise.</w:t>
      </w:r>
    </w:p>
    <w:p>
      <w:pPr>
        <w:pStyle w:val="ListBullet"/>
        <w:ind w:left="340"/>
      </w:pPr>
      <w:r>
        <w:rPr>
          <w:sz w:val="22"/>
        </w:rPr>
        <w:t>Stop redundant or duplicative agents (e.g., two antihistamines).</w:t>
      </w:r>
    </w:p>
    <w:p>
      <w:pPr>
        <w:pStyle w:val="ListBullet"/>
        <w:ind w:left="340"/>
      </w:pPr>
      <w:r>
        <w:rPr>
          <w:sz w:val="22"/>
        </w:rPr>
        <w:t>Combine 3 CNS-active drugs (Beers 2023 strong recommendation to avoid).</w:t>
      </w:r>
    </w:p>
    <w:p>
      <w:r>
        <w:rPr>
          <w:rFonts w:ascii="Calibri" w:hAnsi="Calibri"/>
          <w:b w:val="0"/>
          <w:i w:val="0"/>
          <w:sz w:val="22"/>
        </w:rPr>
        <w:t>Each additional medication increases fall risk by approximately 8-28% (Dhalwani 2017).</w:t>
      </w:r>
    </w:p>
    <w:p>
      <w:r>
        <w:rPr>
          <w:rFonts w:ascii="Calibri" w:hAnsi="Calibri"/>
          <w:b w:val="0"/>
          <w:i w:val="0"/>
          <w:sz w:val="22"/>
        </w:rPr>
        <w:t>Evidence: A (AAFP 2019; WHO 2019 polypharmacy; AGS Beers 2023; STOPP/START 2023).</w:t>
      </w:r>
    </w:p>
    <w:p>
      <w:pPr>
        <w:pStyle w:val="Heading2"/>
      </w:pPr>
      <w:r>
        <w:rPr>
          <w:rFonts w:ascii="Calibri" w:hAnsi="Calibri"/>
        </w:rPr>
        <w:t>4.9 Feature: cognitive_impairment (0 = none, 1 = mild, 2 = moderate-severe)</w:t>
      </w:r>
    </w:p>
    <w:p>
      <w:r>
        <w:rPr>
          <w:rFonts w:ascii="Calibri" w:hAnsi="Calibri"/>
          <w:b w:val="0"/>
          <w:i/>
          <w:sz w:val="22"/>
        </w:rPr>
        <w:t>Category: PARTIALLY IMPROVABLE; for MCI (1), the deficit itself can be reduced; for moderate-severe (2), the priority is aggressive risk-factor management.</w:t>
      </w:r>
    </w:p>
    <w:p>
      <w:r>
        <w:rPr>
          <w:rFonts w:ascii="Calibri" w:hAnsi="Calibri"/>
          <w:b w:val="0"/>
          <w:i w:val="0"/>
          <w:sz w:val="22"/>
        </w:rPr>
        <w:t>For value = 1 (Mild Cognitive Impairment):</w:t>
      </w:r>
    </w:p>
    <w:p>
      <w:pPr>
        <w:pStyle w:val="ListBullet"/>
        <w:ind w:left="340"/>
      </w:pPr>
      <w:r>
        <w:rPr>
          <w:sz w:val="22"/>
        </w:rPr>
        <w:t>Combined exercise + cognitive training (Lipardo 2017): resistance + balance 2-3 x/week + computerised cognitive training.</w:t>
      </w:r>
    </w:p>
    <w:p>
      <w:pPr>
        <w:pStyle w:val="ListBullet"/>
        <w:ind w:left="340"/>
      </w:pPr>
      <w:r>
        <w:rPr>
          <w:sz w:val="22"/>
        </w:rPr>
        <w:t>Refer for formal cognitive testing (MoCA or MMSE) to confirm aetiology (vascular, Alzheimer, or reversible causes: B12, hypothyroidism, sleep apnoea, depression).</w:t>
      </w:r>
    </w:p>
    <w:p>
      <w:pPr>
        <w:pStyle w:val="ListBullet"/>
        <w:ind w:left="340"/>
      </w:pPr>
      <w:r>
        <w:rPr>
          <w:sz w:val="22"/>
        </w:rPr>
        <w:t>Reduce environmental hazards aggressively - dual-task capacity is reduced.</w:t>
      </w:r>
    </w:p>
    <w:p>
      <w:r>
        <w:rPr>
          <w:rFonts w:ascii="Calibri" w:hAnsi="Calibri"/>
          <w:b w:val="0"/>
          <w:i w:val="0"/>
          <w:sz w:val="22"/>
        </w:rPr>
        <w:t>For value = 2 (moderate-severe):</w:t>
      </w:r>
    </w:p>
    <w:p>
      <w:pPr>
        <w:pStyle w:val="ListBullet"/>
        <w:ind w:left="340"/>
      </w:pPr>
      <w:r>
        <w:rPr>
          <w:sz w:val="22"/>
        </w:rPr>
        <w:t>Full multifactorial assessment with caregiver input.</w:t>
      </w:r>
    </w:p>
    <w:p>
      <w:pPr>
        <w:pStyle w:val="ListBullet"/>
        <w:ind w:left="340"/>
      </w:pPr>
      <w:r>
        <w:rPr>
          <w:sz w:val="22"/>
        </w:rPr>
        <w:t>Consider supervised day programmes (each session is itself a balance session).</w:t>
      </w:r>
    </w:p>
    <w:p>
      <w:pPr>
        <w:pStyle w:val="ListBullet"/>
        <w:ind w:left="340"/>
      </w:pPr>
      <w:r>
        <w:rPr>
          <w:sz w:val="22"/>
        </w:rPr>
        <w:t>Remove all deliriogenic and anticholinergic drugs (Beers 2023).</w:t>
      </w:r>
    </w:p>
    <w:p>
      <w:r>
        <w:rPr>
          <w:rFonts w:ascii="Calibri" w:hAnsi="Calibri"/>
          <w:b w:val="0"/>
          <w:i w:val="0"/>
          <w:sz w:val="22"/>
        </w:rPr>
        <w:t>Evidence: A for exercise (Lipardo 2017; Pichierri 2021); A for deprescribing (Beers 2023).</w:t>
      </w:r>
    </w:p>
    <w:p>
      <w:pPr>
        <w:pStyle w:val="Heading2"/>
      </w:pPr>
      <w:r>
        <w:rPr>
          <w:rFonts w:ascii="Calibri" w:hAnsi="Calibri"/>
        </w:rPr>
        <w:t>4.10 Feature: orthostatic_hypotension (0/1)</w:t>
      </w:r>
    </w:p>
    <w:p>
      <w:r>
        <w:rPr>
          <w:rFonts w:ascii="Calibri" w:hAnsi="Calibri"/>
          <w:b w:val="0"/>
          <w:i/>
          <w:sz w:val="22"/>
        </w:rPr>
        <w:t>Category: DIRECTLY IMPROVABLE.</w:t>
      </w:r>
    </w:p>
    <w:p>
      <w:r>
        <w:rPr>
          <w:rFonts w:ascii="Calibri" w:hAnsi="Calibri"/>
          <w:b w:val="0"/>
          <w:i w:val="0"/>
          <w:sz w:val="22"/>
        </w:rPr>
        <w:t>Elevated direction: value 1 = supine-to-standing BP drop &gt;= 20 mmHg systolic or &gt;= 10 mmHg diastolic within 3 minutes (Freeman 2011 consensus).</w:t>
      </w:r>
    </w:p>
    <w:p>
      <w:r>
        <w:rPr>
          <w:rFonts w:ascii="Calibri" w:hAnsi="Calibri"/>
          <w:b w:val="0"/>
          <w:i w:val="0"/>
          <w:sz w:val="22"/>
        </w:rPr>
        <w:t>Action:</w:t>
      </w:r>
    </w:p>
    <w:p>
      <w:pPr>
        <w:pStyle w:val="ListBullet"/>
        <w:ind w:left="340"/>
      </w:pPr>
      <w:r>
        <w:rPr>
          <w:sz w:val="22"/>
        </w:rPr>
        <w:t>Measure lying and standing BP at 1 min and 3 min (do NOT rely on the EHR diagnosis alone).</w:t>
      </w:r>
    </w:p>
    <w:p>
      <w:pPr>
        <w:pStyle w:val="ListBullet"/>
        <w:ind w:left="340"/>
      </w:pPr>
      <w:r>
        <w:rPr>
          <w:sz w:val="22"/>
        </w:rPr>
        <w:t>Review antihypertensives and vasodilators (alpha-blockers for BPH, nitrates, PDE-5 inhibitors) - consider dose reduction or deprescribing.</w:t>
      </w:r>
    </w:p>
    <w:p>
      <w:pPr>
        <w:pStyle w:val="ListBullet"/>
        <w:ind w:left="340"/>
      </w:pPr>
      <w:r>
        <w:rPr>
          <w:sz w:val="22"/>
        </w:rPr>
        <w:t>Three-step rise: lie 30 s -&gt; sit 30 s -&gt; stand 30 s before walking.</w:t>
      </w:r>
    </w:p>
    <w:p>
      <w:pPr>
        <w:pStyle w:val="ListBullet"/>
        <w:ind w:left="340"/>
      </w:pPr>
      <w:r>
        <w:rPr>
          <w:sz w:val="22"/>
        </w:rPr>
        <w:t>Hydration 1.5-2 L/day (more in heat).</w:t>
      </w:r>
    </w:p>
    <w:p>
      <w:pPr>
        <w:pStyle w:val="ListBullet"/>
        <w:ind w:left="340"/>
      </w:pPr>
      <w:r>
        <w:rPr>
          <w:sz w:val="22"/>
        </w:rPr>
        <w:t>Compression stockings (knee-high, 20-30 mmHg) for daytime use.</w:t>
      </w:r>
    </w:p>
    <w:p>
      <w:pPr>
        <w:pStyle w:val="ListBullet"/>
        <w:ind w:left="340"/>
      </w:pPr>
      <w:r>
        <w:rPr>
          <w:sz w:val="22"/>
        </w:rPr>
        <w:t>Head-of-bed elevation 10-20 degrees at night.</w:t>
      </w:r>
    </w:p>
    <w:p>
      <w:pPr>
        <w:pStyle w:val="ListBullet"/>
        <w:ind w:left="340"/>
      </w:pPr>
      <w:r>
        <w:rPr>
          <w:sz w:val="22"/>
        </w:rPr>
        <w:t>Avoid large carbohydrate meals; small frequent meals.</w:t>
      </w:r>
    </w:p>
    <w:p>
      <w:pPr>
        <w:pStyle w:val="ListBullet"/>
        <w:ind w:left="340"/>
      </w:pPr>
      <w:r>
        <w:rPr>
          <w:sz w:val="22"/>
        </w:rPr>
        <w:t>Review salt intake only if no hypertension.</w:t>
      </w:r>
    </w:p>
    <w:p>
      <w:r>
        <w:rPr>
          <w:rFonts w:ascii="Calibri" w:hAnsi="Calibri"/>
          <w:b w:val="0"/>
          <w:i w:val="0"/>
          <w:sz w:val="22"/>
        </w:rPr>
        <w:t>Evidence: A (Freeman 2018; CDC STEADI 2019).</w:t>
      </w:r>
    </w:p>
    <w:p>
      <w:pPr>
        <w:pStyle w:val="Heading2"/>
      </w:pPr>
      <w:r>
        <w:rPr>
          <w:rFonts w:ascii="Calibri" w:hAnsi="Calibri"/>
        </w:rPr>
        <w:t>4.11 Feature: tug_seconds (8.0-31.9 s)</w:t>
      </w:r>
    </w:p>
    <w:p>
      <w:r>
        <w:rPr>
          <w:rFonts w:ascii="Calibri" w:hAnsi="Calibri"/>
          <w:b w:val="0"/>
          <w:i/>
          <w:sz w:val="22"/>
        </w:rPr>
        <w:t>Category: DIRECTLY IMPROVABLE through exercise and gait training.</w:t>
      </w:r>
    </w:p>
    <w:p>
      <w:r>
        <w:rPr>
          <w:rFonts w:ascii="Calibri" w:hAnsi="Calibri"/>
          <w:b w:val="0"/>
          <w:i w:val="0"/>
          <w:sz w:val="22"/>
        </w:rPr>
        <w:t>Elevated direction: &gt; 13.5 s for community-dwelling older adults (Shumway-Cook 2000); however, in a 60-70 year-old even &gt; 9.5 s (1 SD above the age-norm of 8.1 s per Bohannon 2006) indicates elevated risk.</w:t>
      </w:r>
    </w:p>
    <w:p>
      <w:r>
        <w:rPr>
          <w:rFonts w:ascii="Calibri" w:hAnsi="Calibri"/>
          <w:b w:val="0"/>
          <w:i w:val="0"/>
          <w:sz w:val="22"/>
        </w:rPr>
        <w:t>Action:</w:t>
      </w:r>
    </w:p>
    <w:p>
      <w:pPr>
        <w:pStyle w:val="ListBullet"/>
        <w:ind w:left="340"/>
      </w:pPr>
      <w:r>
        <w:rPr>
          <w:sz w:val="22"/>
        </w:rPr>
        <w:t>8.5-11.9 s: refer for balance/strength training (Section 3.1).</w:t>
      </w:r>
    </w:p>
    <w:p>
      <w:pPr>
        <w:pStyle w:val="ListBullet"/>
        <w:ind w:left="340"/>
      </w:pPr>
      <w:r>
        <w:rPr>
          <w:sz w:val="22"/>
        </w:rPr>
        <w:t>&gt;= 12.0 s: full multifactorial assessment; the TUG alone should not be used to rule out falls (Barry 2014 meta-analysis: pooled sensitivity 0.31, specificity 0.74 at 13.5 s).</w:t>
      </w:r>
    </w:p>
    <w:p>
      <w:pPr>
        <w:pStyle w:val="ListBullet"/>
        <w:ind w:left="340"/>
      </w:pPr>
      <w:r>
        <w:rPr>
          <w:sz w:val="22"/>
        </w:rPr>
        <w:t>&gt;= 13.5 s: high fall risk; refer to physiotherapy and a falls-prevention programme; assess gait aid need.</w:t>
      </w:r>
    </w:p>
    <w:p>
      <w:pPr>
        <w:pStyle w:val="ListBullet"/>
        <w:ind w:left="340"/>
      </w:pPr>
      <w:r>
        <w:rPr>
          <w:sz w:val="22"/>
        </w:rPr>
        <w:t>&gt;= 20.0 s: dependent on others for some transfers; refer to occupational therapy for home and ADL assessment.</w:t>
      </w:r>
    </w:p>
    <w:p>
      <w:r>
        <w:rPr>
          <w:rFonts w:ascii="Calibri" w:hAnsi="Calibri"/>
          <w:b w:val="0"/>
          <w:i w:val="0"/>
          <w:sz w:val="22"/>
        </w:rPr>
        <w:t>Evidence: A (Shumway-Cook 2000; Barry 2014; Bohannon 2006; Podsiadlo 1991).</w:t>
      </w:r>
    </w:p>
    <w:p>
      <w:pPr>
        <w:pStyle w:val="Heading2"/>
      </w:pPr>
      <w:r>
        <w:rPr>
          <w:rFonts w:ascii="Calibri" w:hAnsi="Calibri"/>
        </w:rPr>
        <w:t>4.12 Feature: days_since_last_fall (0-365, empty if past_falls=0)</w:t>
      </w:r>
    </w:p>
    <w:p>
      <w:r>
        <w:rPr>
          <w:rFonts w:ascii="Calibri" w:hAnsi="Calibri"/>
          <w:b w:val="0"/>
          <w:i/>
          <w:sz w:val="22"/>
        </w:rPr>
        <w:t>Category: ROUTING FLAG (recency indicator).</w:t>
      </w:r>
    </w:p>
    <w:p>
      <w:r>
        <w:rPr>
          <w:rFonts w:ascii="Calibri" w:hAnsi="Calibri"/>
          <w:b w:val="0"/>
          <w:i w:val="0"/>
          <w:sz w:val="22"/>
        </w:rPr>
        <w:t>Elevated direction: small days_since_last_fall (especially &lt; 30 days) means the resident is in the immediate post-fall high-risk window; NICE CG161 recommends multifactorial assessment as soon as practicable after a fall.</w:t>
      </w:r>
    </w:p>
    <w:p>
      <w:r>
        <w:rPr>
          <w:rFonts w:ascii="Calibri" w:hAnsi="Calibri"/>
          <w:b w:val="0"/>
          <w:i w:val="0"/>
          <w:sz w:val="22"/>
        </w:rPr>
        <w:t>Action:</w:t>
      </w:r>
    </w:p>
    <w:p>
      <w:pPr>
        <w:pStyle w:val="ListBullet"/>
        <w:ind w:left="340"/>
      </w:pPr>
      <w:r>
        <w:rPr>
          <w:sz w:val="22"/>
        </w:rPr>
        <w:t>If &lt; 30 days: trigger same-day or within-week STEADI multifactorial assessment (see 4.5).</w:t>
      </w:r>
    </w:p>
    <w:p>
      <w:pPr>
        <w:pStyle w:val="ListBullet"/>
        <w:ind w:left="340"/>
      </w:pPr>
      <w:r>
        <w:rPr>
          <w:sz w:val="22"/>
        </w:rPr>
        <w:t>If 30-180 days: schedule assessment within 30 days.</w:t>
      </w:r>
    </w:p>
    <w:p>
      <w:pPr>
        <w:pStyle w:val="ListBullet"/>
        <w:ind w:left="340"/>
      </w:pPr>
      <w:r>
        <w:rPr>
          <w:sz w:val="22"/>
        </w:rPr>
        <w:t>If empty (past_falls = 0): no action beyond routine annual screening.</w:t>
      </w:r>
    </w:p>
    <w:p>
      <w:r>
        <w:rPr>
          <w:rFonts w:ascii="Calibri" w:hAnsi="Calibri"/>
          <w:b w:val="0"/>
          <w:i w:val="0"/>
          <w:sz w:val="22"/>
        </w:rPr>
        <w:t>Evidence: A (NICE CG161 2013; CDC STEADI 2019).</w:t>
      </w:r>
    </w:p>
    <w:p>
      <w:pPr>
        <w:pStyle w:val="Heading2"/>
      </w:pPr>
      <w:r>
        <w:rPr>
          <w:rFonts w:ascii="Calibri" w:hAnsi="Calibri"/>
        </w:rPr>
        <w:t>4.13 Feature: syncopal_fall (0/1)</w:t>
      </w:r>
    </w:p>
    <w:p>
      <w:r>
        <w:rPr>
          <w:rFonts w:ascii="Calibri" w:hAnsi="Calibri"/>
          <w:b w:val="0"/>
          <w:i/>
          <w:sz w:val="22"/>
        </w:rPr>
        <w:t>Category: ROUTING FLAG (NOT a standard balance-training trigger).</w:t>
      </w:r>
    </w:p>
    <w:p>
      <w:r>
        <w:rPr>
          <w:rFonts w:ascii="Calibri" w:hAnsi="Calibri"/>
          <w:b w:val="0"/>
          <w:i w:val="0"/>
          <w:sz w:val="22"/>
        </w:rPr>
        <w:t>Elevated direction: value 1 = the fall involved loss of consciousness. Syncope (transient loss of consciousness) is implicated in 20-30% of ED fall presentations; it points to cardiovascular causes (orthostatic hypotension, arrhythmia, vasovagal), not gait/balance problems (Pasqualetti 2017).</w:t>
      </w:r>
    </w:p>
    <w:p>
      <w:r>
        <w:rPr>
          <w:rFonts w:ascii="Calibri" w:hAnsi="Calibri"/>
          <w:b w:val="0"/>
          <w:i w:val="0"/>
          <w:sz w:val="22"/>
        </w:rPr>
        <w:t>Action: route to a CARDIOLOGY or SYNCOPE CLINIC, not a balance-training programme.</w:t>
      </w:r>
    </w:p>
    <w:p>
      <w:pPr>
        <w:pStyle w:val="ListBullet"/>
        <w:ind w:left="340"/>
      </w:pPr>
      <w:r>
        <w:rPr>
          <w:sz w:val="22"/>
        </w:rPr>
        <w:t>Check orthostatic BP (see 4.10).</w:t>
      </w:r>
    </w:p>
    <w:p>
      <w:pPr>
        <w:pStyle w:val="ListBullet"/>
        <w:ind w:left="340"/>
      </w:pPr>
      <w:r>
        <w:rPr>
          <w:sz w:val="22"/>
        </w:rPr>
        <w:t>12-lead ECG and consider Holter monitoring if arrhythmia suspected.</w:t>
      </w:r>
    </w:p>
    <w:p>
      <w:pPr>
        <w:pStyle w:val="ListBullet"/>
        <w:ind w:left="340"/>
      </w:pPr>
      <w:r>
        <w:rPr>
          <w:sz w:val="22"/>
        </w:rPr>
        <w:t>Review antihypertensives, vasodilators, and QT-prolonging drugs.</w:t>
      </w:r>
    </w:p>
    <w:p>
      <w:pPr>
        <w:pStyle w:val="ListBullet"/>
        <w:ind w:left="340"/>
      </w:pPr>
      <w:r>
        <w:rPr>
          <w:sz w:val="22"/>
        </w:rPr>
        <w:t>Up to 30% of older patients with syncope have cardiovascular causes (Pasqualetti 2017).</w:t>
      </w:r>
    </w:p>
    <w:p>
      <w:r>
        <w:rPr>
          <w:rFonts w:ascii="Calibri" w:hAnsi="Calibri"/>
          <w:b w:val="0"/>
          <w:i w:val="0"/>
          <w:sz w:val="22"/>
        </w:rPr>
        <w:t>Evidence: B (Pasqualetti 2017; Bloem 2007).</w:t>
      </w:r>
    </w:p>
    <w:p>
      <w:pPr>
        <w:pStyle w:val="Heading2"/>
      </w:pPr>
      <w:r>
        <w:rPr>
          <w:rFonts w:ascii="Calibri" w:hAnsi="Calibri"/>
        </w:rPr>
        <w:t>4.14 Feature: fall_cluster_30d (0/1)</w:t>
      </w:r>
    </w:p>
    <w:p>
      <w:r>
        <w:rPr>
          <w:rFonts w:ascii="Calibri" w:hAnsi="Calibri"/>
          <w:b w:val="0"/>
          <w:i/>
          <w:sz w:val="22"/>
        </w:rPr>
        <w:t>Category: ROUTING FLAG (acute trigger investigation).</w:t>
      </w:r>
    </w:p>
    <w:p>
      <w:r>
        <w:rPr>
          <w:rFonts w:ascii="Calibri" w:hAnsi="Calibri"/>
          <w:b w:val="0"/>
          <w:i w:val="0"/>
          <w:sz w:val="22"/>
        </w:rPr>
        <w:t>Elevated direction: value 1 = 2 or more falls within the past 30 days. Clustering is uncommon for chronic fallers; it almost always signals an acute reversible cause.</w:t>
      </w:r>
    </w:p>
    <w:p>
      <w:r>
        <w:rPr>
          <w:rFonts w:ascii="Calibri" w:hAnsi="Calibri"/>
          <w:b w:val="0"/>
          <w:i w:val="0"/>
          <w:sz w:val="22"/>
        </w:rPr>
        <w:t>Action: investigate an ACUTE TRIGGER (do NOT default to balance training).</w:t>
      </w:r>
    </w:p>
    <w:p>
      <w:pPr>
        <w:pStyle w:val="ListBullet"/>
        <w:ind w:left="340"/>
      </w:pPr>
      <w:r>
        <w:rPr>
          <w:sz w:val="22"/>
        </w:rPr>
        <w:t>Newly started medication (within the past 30 days): review the entire medication list.</w:t>
      </w:r>
    </w:p>
    <w:p>
      <w:pPr>
        <w:pStyle w:val="ListBullet"/>
        <w:ind w:left="340"/>
      </w:pPr>
      <w:r>
        <w:rPr>
          <w:sz w:val="22"/>
        </w:rPr>
        <w:t>Acute infection: urinalysis, chest X-ray, blood count, CRP if febrile.</w:t>
      </w:r>
    </w:p>
    <w:p>
      <w:pPr>
        <w:pStyle w:val="ListBullet"/>
        <w:ind w:left="340"/>
      </w:pPr>
      <w:r>
        <w:rPr>
          <w:sz w:val="22"/>
        </w:rPr>
        <w:t>Hypoglycaemia in diabetics: blood glucose trend.</w:t>
      </w:r>
    </w:p>
    <w:p>
      <w:pPr>
        <w:pStyle w:val="ListBullet"/>
        <w:ind w:left="340"/>
      </w:pPr>
      <w:r>
        <w:rPr>
          <w:sz w:val="22"/>
        </w:rPr>
        <w:t>Acute vertigo (BPPV, vestibular neuritis): Dix-Hallpike and treat with Epley manoeuvre if positive.</w:t>
      </w:r>
    </w:p>
    <w:p>
      <w:pPr>
        <w:pStyle w:val="ListBullet"/>
        <w:ind w:left="340"/>
      </w:pPr>
      <w:r>
        <w:rPr>
          <w:sz w:val="22"/>
        </w:rPr>
        <w:t>Consider urgent review (same-day ED visit) if a clear trigger is not identified within 48 h.</w:t>
      </w:r>
    </w:p>
    <w:p>
      <w:r>
        <w:rPr>
          <w:rFonts w:ascii="Calibri" w:hAnsi="Calibri"/>
          <w:b w:val="0"/>
          <w:i w:val="0"/>
          <w:sz w:val="22"/>
        </w:rPr>
        <w:t>Evidence: B (Pasqualetti 2017; Jehu 2021; Bloem 2007).</w:t>
      </w:r>
    </w:p>
    <w:p>
      <w:pPr>
        <w:pStyle w:val="Heading1"/>
      </w:pPr>
      <w:r>
        <w:rPr>
          <w:rFonts w:ascii="Calibri" w:hAnsi="Calibri"/>
        </w:rPr>
        <w:t>5. Summary Table: Feature -&gt; Primary Reduction Action -&gt; Evidence</w:t>
      </w:r>
    </w:p>
    <w:p>
      <w:r>
        <w:rPr>
          <w:rFonts w:ascii="Calibri" w:hAnsi="Calibri"/>
          <w:b w:val="0"/>
          <w:i/>
          <w:sz w:val="22"/>
        </w:rPr>
        <w:t>This table can be transcribed into the model's intervention-routing module to replace the current hard-coded strings in backend/main.py (INTERVENTION_ACTIONS).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t>Feature (model)</w:t>
            </w:r>
          </w:p>
        </w:tc>
        <w:tc>
          <w:tcPr>
            <w:tcW w:type="dxa" w:w="2436"/>
          </w:tcPr>
          <w:p>
            <w:r>
              <w:t>Primary reduction action</w:t>
            </w:r>
          </w:p>
        </w:tc>
        <w:tc>
          <w:tcPr>
            <w:tcW w:type="dxa" w:w="2436"/>
          </w:tcPr>
          <w:p>
            <w:r>
              <w:t>Evidence level</w:t>
            </w:r>
          </w:p>
        </w:tc>
        <w:tc>
          <w:tcPr>
            <w:tcW w:type="dxa" w:w="2436"/>
          </w:tcPr>
          <w:p>
            <w:r>
              <w:t>Key reference</w:t>
            </w:r>
          </w:p>
        </w:tc>
      </w:tr>
      <w:tr>
        <w:tc>
          <w:tcPr>
            <w:tcW w:type="dxa" w:w="2436"/>
          </w:tcPr>
          <w:p>
            <w:r>
              <w:t>age (60-100)</w:t>
            </w:r>
          </w:p>
        </w:tc>
        <w:tc>
          <w:tcPr>
            <w:tcW w:type="dxa" w:w="2436"/>
          </w:tcPr>
          <w:p>
            <w:r>
              <w:t>Engage in balance/strength exercise; optimise modifiable features</w:t>
            </w:r>
          </w:p>
        </w:tc>
        <w:tc>
          <w:tcPr>
            <w:tcW w:type="dxa" w:w="2436"/>
          </w:tcPr>
          <w:p>
            <w:r>
              <w:t>A</w:t>
            </w:r>
          </w:p>
        </w:tc>
        <w:tc>
          <w:tcPr>
            <w:tcW w:type="dxa" w:w="2436"/>
          </w:tcPr>
          <w:p>
            <w:r>
              <w:t>Sherrington 2017; CDC STEADI 2019</w:t>
            </w:r>
          </w:p>
        </w:tc>
      </w:tr>
      <w:tr>
        <w:tc>
          <w:tcPr>
            <w:tcW w:type="dxa" w:w="2436"/>
          </w:tcPr>
          <w:p>
            <w:r>
              <w:t>sex</w:t>
            </w:r>
          </w:p>
        </w:tc>
        <w:tc>
          <w:tcPr>
            <w:tcW w:type="dxa" w:w="2436"/>
          </w:tcPr>
          <w:p>
            <w:r>
              <w:t>Screen for urinary urgency (women) or OH (men); same exercise dose</w:t>
            </w:r>
          </w:p>
        </w:tc>
        <w:tc>
          <w:tcPr>
            <w:tcW w:type="dxa" w:w="2436"/>
          </w:tcPr>
          <w:p>
            <w:r>
              <w:t>B</w:t>
            </w:r>
          </w:p>
        </w:tc>
        <w:tc>
          <w:tcPr>
            <w:tcW w:type="dxa" w:w="2436"/>
          </w:tcPr>
          <w:p>
            <w:r>
              <w:t>WHO 2021; CDC STEADI 2019</w:t>
            </w:r>
          </w:p>
        </w:tc>
      </w:tr>
      <w:tr>
        <w:tc>
          <w:tcPr>
            <w:tcW w:type="dxa" w:w="2436"/>
          </w:tcPr>
          <w:p>
            <w:r>
              <w:t>night_bed_exits</w:t>
            </w:r>
          </w:p>
        </w:tc>
        <w:tc>
          <w:tcPr>
            <w:tcW w:type="dxa" w:w="2436"/>
          </w:tcPr>
          <w:p>
            <w:r>
              <w:t>Limit evening fluids; bedside commode; night light; non-slip slippers; urology review</w:t>
            </w:r>
          </w:p>
        </w:tc>
        <w:tc>
          <w:tcPr>
            <w:tcW w:type="dxa" w:w="2436"/>
          </w:tcPr>
          <w:p>
            <w:r>
              <w:t>B</w:t>
            </w:r>
          </w:p>
        </w:tc>
        <w:tc>
          <w:tcPr>
            <w:tcW w:type="dxa" w:w="2436"/>
          </w:tcPr>
          <w:p>
            <w:r>
              <w:t>Kim 2017; Dynseo 2026</w:t>
            </w:r>
          </w:p>
        </w:tc>
      </w:tr>
      <w:tr>
        <w:tc>
          <w:tcPr>
            <w:tcW w:type="dxa" w:w="2436"/>
          </w:tcPr>
          <w:p>
            <w:r>
              <w:t>night_activity_duration_min</w:t>
            </w:r>
          </w:p>
        </w:tc>
        <w:tc>
          <w:tcPr>
            <w:tcW w:type="dxa" w:w="2436"/>
          </w:tcPr>
          <w:p>
            <w:r>
              <w:t>Screen for sleep apnoea (STOP-BANG); CBT-I; pain management</w:t>
            </w:r>
          </w:p>
        </w:tc>
        <w:tc>
          <w:tcPr>
            <w:tcW w:type="dxa" w:w="2436"/>
          </w:tcPr>
          <w:p>
            <w:r>
              <w:t>B</w:t>
            </w:r>
          </w:p>
        </w:tc>
        <w:tc>
          <w:tcPr>
            <w:tcW w:type="dxa" w:w="2436"/>
          </w:tcPr>
          <w:p>
            <w:r>
              <w:t>Stone 2008; AAFP 2024</w:t>
            </w:r>
          </w:p>
        </w:tc>
      </w:tr>
      <w:tr>
        <w:tc>
          <w:tcPr>
            <w:tcW w:type="dxa" w:w="2436"/>
          </w:tcPr>
          <w:p>
            <w:r>
              <w:t>past_falls (&gt;=1)</w:t>
            </w:r>
          </w:p>
        </w:tc>
        <w:tc>
          <w:tcPr>
            <w:tcW w:type="dxa" w:w="2436"/>
          </w:tcPr>
          <w:p>
            <w:r>
              <w:t>Trigger full STEADI multifactorial assessment</w:t>
            </w:r>
          </w:p>
        </w:tc>
        <w:tc>
          <w:tcPr>
            <w:tcW w:type="dxa" w:w="2436"/>
          </w:tcPr>
          <w:p>
            <w:r>
              <w:t>A</w:t>
            </w:r>
          </w:p>
        </w:tc>
        <w:tc>
          <w:tcPr>
            <w:tcW w:type="dxa" w:w="2436"/>
          </w:tcPr>
          <w:p>
            <w:r>
              <w:t>Gates 2008; CDC STEADI 2019</w:t>
            </w:r>
          </w:p>
        </w:tc>
      </w:tr>
      <w:tr>
        <w:tc>
          <w:tcPr>
            <w:tcW w:type="dxa" w:w="2436"/>
          </w:tcPr>
          <w:p>
            <w:r>
              <w:t>past_falls (&gt;=2 / recurrent)</w:t>
            </w:r>
          </w:p>
        </w:tc>
        <w:tc>
          <w:tcPr>
            <w:tcW w:type="dxa" w:w="2436"/>
          </w:tcPr>
          <w:p>
            <w:r>
              <w:t>Refer to falls clinic or geriatrician</w:t>
            </w:r>
          </w:p>
        </w:tc>
        <w:tc>
          <w:tcPr>
            <w:tcW w:type="dxa" w:w="2436"/>
          </w:tcPr>
          <w:p>
            <w:r>
              <w:t>A</w:t>
            </w:r>
          </w:p>
        </w:tc>
        <w:tc>
          <w:tcPr>
            <w:tcW w:type="dxa" w:w="2436"/>
          </w:tcPr>
          <w:p>
            <w:r>
              <w:t>Jehu 2021</w:t>
            </w:r>
          </w:p>
        </w:tc>
      </w:tr>
      <w:tr>
        <w:tc>
          <w:tcPr>
            <w:tcW w:type="dxa" w:w="2436"/>
          </w:tcPr>
          <w:p>
            <w:r>
              <w:t>mobility_score (low)</w:t>
            </w:r>
          </w:p>
        </w:tc>
        <w:tc>
          <w:tcPr>
            <w:tcW w:type="dxa" w:w="2436"/>
          </w:tcPr>
          <w:p>
            <w:r>
              <w:t>Otago / Tai Chi &gt;= 3 h/week; refer PT if score &lt;= 5</w:t>
            </w:r>
          </w:p>
        </w:tc>
        <w:tc>
          <w:tcPr>
            <w:tcW w:type="dxa" w:w="2436"/>
          </w:tcPr>
          <w:p>
            <w:r>
              <w:t>A</w:t>
            </w:r>
          </w:p>
        </w:tc>
        <w:tc>
          <w:tcPr>
            <w:tcW w:type="dxa" w:w="2436"/>
          </w:tcPr>
          <w:p>
            <w:r>
              <w:t>Sherrington 2017; Gillespie 2012</w:t>
            </w:r>
          </w:p>
        </w:tc>
      </w:tr>
      <w:tr>
        <w:tc>
          <w:tcPr>
            <w:tcW w:type="dxa" w:w="2436"/>
          </w:tcPr>
          <w:p>
            <w:r>
              <w:t>high_risk_medication</w:t>
            </w:r>
          </w:p>
        </w:tc>
        <w:tc>
          <w:tcPr>
            <w:tcW w:type="dxa" w:w="2436"/>
          </w:tcPr>
          <w:p>
            <w:r>
              <w:t>Identify FRID; deprescribe with prescriber; substitute safer</w:t>
            </w:r>
          </w:p>
        </w:tc>
        <w:tc>
          <w:tcPr>
            <w:tcW w:type="dxa" w:w="2436"/>
          </w:tcPr>
          <w:p>
            <w:r>
              <w:t>A</w:t>
            </w:r>
          </w:p>
        </w:tc>
        <w:tc>
          <w:tcPr>
            <w:tcW w:type="dxa" w:w="2436"/>
          </w:tcPr>
          <w:p>
            <w:r>
              <w:t>Beers 2023; STOPP/START 2023</w:t>
            </w:r>
          </w:p>
        </w:tc>
      </w:tr>
      <w:tr>
        <w:tc>
          <w:tcPr>
            <w:tcW w:type="dxa" w:w="2436"/>
          </w:tcPr>
          <w:p>
            <w:r>
              <w:t>polypharmacy_count (&gt;=5)</w:t>
            </w:r>
          </w:p>
        </w:tc>
        <w:tc>
          <w:tcPr>
            <w:tcW w:type="dxa" w:w="2436"/>
          </w:tcPr>
          <w:p>
            <w:r>
              <w:t>Annual pharmacist review using Beers + STOPP/START</w:t>
            </w:r>
          </w:p>
        </w:tc>
        <w:tc>
          <w:tcPr>
            <w:tcW w:type="dxa" w:w="2436"/>
          </w:tcPr>
          <w:p>
            <w:r>
              <w:t>A</w:t>
            </w:r>
          </w:p>
        </w:tc>
        <w:tc>
          <w:tcPr>
            <w:tcW w:type="dxa" w:w="2436"/>
          </w:tcPr>
          <w:p>
            <w:r>
              <w:t>AAFP 2019; WHO 2019</w:t>
            </w:r>
          </w:p>
        </w:tc>
      </w:tr>
      <w:tr>
        <w:tc>
          <w:tcPr>
            <w:tcW w:type="dxa" w:w="2436"/>
          </w:tcPr>
          <w:p>
            <w:r>
              <w:t>polypharmacy_count (&gt;=3 CNS-active)</w:t>
            </w:r>
          </w:p>
        </w:tc>
        <w:tc>
          <w:tcPr>
            <w:tcW w:type="dxa" w:w="2436"/>
          </w:tcPr>
          <w:p>
            <w:r>
              <w:t>Avoid - strong recommendation</w:t>
            </w:r>
          </w:p>
        </w:tc>
        <w:tc>
          <w:tcPr>
            <w:tcW w:type="dxa" w:w="2436"/>
          </w:tcPr>
          <w:p>
            <w:r>
              <w:t>A</w:t>
            </w:r>
          </w:p>
        </w:tc>
        <w:tc>
          <w:tcPr>
            <w:tcW w:type="dxa" w:w="2436"/>
          </w:tcPr>
          <w:p>
            <w:r>
              <w:t>Beers 2023</w:t>
            </w:r>
          </w:p>
        </w:tc>
      </w:tr>
      <w:tr>
        <w:tc>
          <w:tcPr>
            <w:tcW w:type="dxa" w:w="2436"/>
          </w:tcPr>
          <w:p>
            <w:r>
              <w:t>cognitive_impairment (1, MCI)</w:t>
            </w:r>
          </w:p>
        </w:tc>
        <w:tc>
          <w:tcPr>
            <w:tcW w:type="dxa" w:w="2436"/>
          </w:tcPr>
          <w:p>
            <w:r>
              <w:t>Combined exercise + cognitive training; MoCA/MMSE</w:t>
            </w:r>
          </w:p>
        </w:tc>
        <w:tc>
          <w:tcPr>
            <w:tcW w:type="dxa" w:w="2436"/>
          </w:tcPr>
          <w:p>
            <w:r>
              <w:t>A</w:t>
            </w:r>
          </w:p>
        </w:tc>
        <w:tc>
          <w:tcPr>
            <w:tcW w:type="dxa" w:w="2436"/>
          </w:tcPr>
          <w:p>
            <w:r>
              <w:t>Lipardo 2017; Pichierri 2021</w:t>
            </w:r>
          </w:p>
        </w:tc>
      </w:tr>
      <w:tr>
        <w:tc>
          <w:tcPr>
            <w:tcW w:type="dxa" w:w="2436"/>
          </w:tcPr>
          <w:p>
            <w:r>
              <w:t>cognitive_impairment (2, mod-severe)</w:t>
            </w:r>
          </w:p>
        </w:tc>
        <w:tc>
          <w:tcPr>
            <w:tcW w:type="dxa" w:w="2436"/>
          </w:tcPr>
          <w:p>
            <w:r>
              <w:t>Full multifactorial; remove deliriogenic drugs</w:t>
            </w:r>
          </w:p>
        </w:tc>
        <w:tc>
          <w:tcPr>
            <w:tcW w:type="dxa" w:w="2436"/>
          </w:tcPr>
          <w:p>
            <w:r>
              <w:t>B</w:t>
            </w:r>
          </w:p>
        </w:tc>
        <w:tc>
          <w:tcPr>
            <w:tcW w:type="dxa" w:w="2436"/>
          </w:tcPr>
          <w:p>
            <w:r>
              <w:t>Beers 2023; AAFP 2024</w:t>
            </w:r>
          </w:p>
        </w:tc>
      </w:tr>
      <w:tr>
        <w:tc>
          <w:tcPr>
            <w:tcW w:type="dxa" w:w="2436"/>
          </w:tcPr>
          <w:p>
            <w:r>
              <w:t>orthostatic_hypotension</w:t>
            </w:r>
          </w:p>
        </w:tc>
        <w:tc>
          <w:tcPr>
            <w:tcW w:type="dxa" w:w="2436"/>
          </w:tcPr>
          <w:p>
            <w:r>
              <w:t>Measure lying/standing BP; deprescribe vasodilators; hydrate; 3-step rise</w:t>
            </w:r>
          </w:p>
        </w:tc>
        <w:tc>
          <w:tcPr>
            <w:tcW w:type="dxa" w:w="2436"/>
          </w:tcPr>
          <w:p>
            <w:r>
              <w:t>A</w:t>
            </w:r>
          </w:p>
        </w:tc>
        <w:tc>
          <w:tcPr>
            <w:tcW w:type="dxa" w:w="2436"/>
          </w:tcPr>
          <w:p>
            <w:r>
              <w:t>Freeman 2018; CDC STEADI 2019</w:t>
            </w:r>
          </w:p>
        </w:tc>
      </w:tr>
      <w:tr>
        <w:tc>
          <w:tcPr>
            <w:tcW w:type="dxa" w:w="2436"/>
          </w:tcPr>
          <w:p>
            <w:r>
              <w:t>tug_seconds 8.5-11.9</w:t>
            </w:r>
          </w:p>
        </w:tc>
        <w:tc>
          <w:tcPr>
            <w:tcW w:type="dxa" w:w="2436"/>
          </w:tcPr>
          <w:p>
            <w:r>
              <w:t>Refer for balance/strength training</w:t>
            </w:r>
          </w:p>
        </w:tc>
        <w:tc>
          <w:tcPr>
            <w:tcW w:type="dxa" w:w="2436"/>
          </w:tcPr>
          <w:p>
            <w:r>
              <w:t>B</w:t>
            </w:r>
          </w:p>
        </w:tc>
        <w:tc>
          <w:tcPr>
            <w:tcW w:type="dxa" w:w="2436"/>
          </w:tcPr>
          <w:p>
            <w:r>
              <w:t>Bohannon 2006; Sherrington 2017</w:t>
            </w:r>
          </w:p>
        </w:tc>
      </w:tr>
      <w:tr>
        <w:tc>
          <w:tcPr>
            <w:tcW w:type="dxa" w:w="2436"/>
          </w:tcPr>
          <w:p>
            <w:r>
              <w:t>tug_seconds &gt;= 12</w:t>
            </w:r>
          </w:p>
        </w:tc>
        <w:tc>
          <w:tcPr>
            <w:tcW w:type="dxa" w:w="2436"/>
          </w:tcPr>
          <w:p>
            <w:r>
              <w:t>Full multifactorial assessment; PT; gait aid review</w:t>
            </w:r>
          </w:p>
        </w:tc>
        <w:tc>
          <w:tcPr>
            <w:tcW w:type="dxa" w:w="2436"/>
          </w:tcPr>
          <w:p>
            <w:r>
              <w:t>A</w:t>
            </w:r>
          </w:p>
        </w:tc>
        <w:tc>
          <w:tcPr>
            <w:tcW w:type="dxa" w:w="2436"/>
          </w:tcPr>
          <w:p>
            <w:r>
              <w:t>Barry 2014; Shumway-Cook 2000</w:t>
            </w:r>
          </w:p>
        </w:tc>
      </w:tr>
      <w:tr>
        <w:tc>
          <w:tcPr>
            <w:tcW w:type="dxa" w:w="2436"/>
          </w:tcPr>
          <w:p>
            <w:r>
              <w:t>tug_seconds &gt;= 13.5</w:t>
            </w:r>
          </w:p>
        </w:tc>
        <w:tc>
          <w:tcPr>
            <w:tcW w:type="dxa" w:w="2436"/>
          </w:tcPr>
          <w:p>
            <w:r>
              <w:t>High risk; falls-prevention programme</w:t>
            </w:r>
          </w:p>
        </w:tc>
        <w:tc>
          <w:tcPr>
            <w:tcW w:type="dxa" w:w="2436"/>
          </w:tcPr>
          <w:p>
            <w:r>
              <w:t>A</w:t>
            </w:r>
          </w:p>
        </w:tc>
        <w:tc>
          <w:tcPr>
            <w:tcW w:type="dxa" w:w="2436"/>
          </w:tcPr>
          <w:p>
            <w:r>
              <w:t>Shumway-Cook 2000</w:t>
            </w:r>
          </w:p>
        </w:tc>
      </w:tr>
      <w:tr>
        <w:tc>
          <w:tcPr>
            <w:tcW w:type="dxa" w:w="2436"/>
          </w:tcPr>
          <w:p>
            <w:r>
              <w:t>tug_seconds &gt;= 20</w:t>
            </w:r>
          </w:p>
        </w:tc>
        <w:tc>
          <w:tcPr>
            <w:tcW w:type="dxa" w:w="2436"/>
          </w:tcPr>
          <w:p>
            <w:r>
              <w:t>Dependent for transfers; OT home assessment</w:t>
            </w:r>
          </w:p>
        </w:tc>
        <w:tc>
          <w:tcPr>
            <w:tcW w:type="dxa" w:w="2436"/>
          </w:tcPr>
          <w:p>
            <w:r>
              <w:t>B</w:t>
            </w:r>
          </w:p>
        </w:tc>
        <w:tc>
          <w:tcPr>
            <w:tcW w:type="dxa" w:w="2436"/>
          </w:tcPr>
          <w:p>
            <w:r>
              <w:t>Podsiadlo 1991</w:t>
            </w:r>
          </w:p>
        </w:tc>
      </w:tr>
      <w:tr>
        <w:tc>
          <w:tcPr>
            <w:tcW w:type="dxa" w:w="2436"/>
          </w:tcPr>
          <w:p>
            <w:r>
              <w:t>days_since_last_fall &lt; 30</w:t>
            </w:r>
          </w:p>
        </w:tc>
        <w:tc>
          <w:tcPr>
            <w:tcW w:type="dxa" w:w="2436"/>
          </w:tcPr>
          <w:p>
            <w:r>
              <w:t>Same-day/within-week multifactorial assessment</w:t>
            </w:r>
          </w:p>
        </w:tc>
        <w:tc>
          <w:tcPr>
            <w:tcW w:type="dxa" w:w="2436"/>
          </w:tcPr>
          <w:p>
            <w:r>
              <w:t>A</w:t>
            </w:r>
          </w:p>
        </w:tc>
        <w:tc>
          <w:tcPr>
            <w:tcW w:type="dxa" w:w="2436"/>
          </w:tcPr>
          <w:p>
            <w:r>
              <w:t>NICE CG161; CDC STEADI 2019</w:t>
            </w:r>
          </w:p>
        </w:tc>
      </w:tr>
      <w:tr>
        <w:tc>
          <w:tcPr>
            <w:tcW w:type="dxa" w:w="2436"/>
          </w:tcPr>
          <w:p>
            <w:r>
              <w:t>syncopal_fall = 1</w:t>
            </w:r>
          </w:p>
        </w:tc>
        <w:tc>
          <w:tcPr>
            <w:tcW w:type="dxa" w:w="2436"/>
          </w:tcPr>
          <w:p>
            <w:r>
              <w:t>Route to cardiology/syncope clinic (NOT balance training)</w:t>
            </w:r>
          </w:p>
        </w:tc>
        <w:tc>
          <w:tcPr>
            <w:tcW w:type="dxa" w:w="2436"/>
          </w:tcPr>
          <w:p>
            <w:r>
              <w:t>B</w:t>
            </w:r>
          </w:p>
        </w:tc>
        <w:tc>
          <w:tcPr>
            <w:tcW w:type="dxa" w:w="2436"/>
          </w:tcPr>
          <w:p>
            <w:r>
              <w:t>Pasqualetti 2017</w:t>
            </w:r>
          </w:p>
        </w:tc>
      </w:tr>
      <w:tr>
        <w:tc>
          <w:tcPr>
            <w:tcW w:type="dxa" w:w="2436"/>
          </w:tcPr>
          <w:p>
            <w:r>
              <w:t>fall_cluster_30d = 1</w:t>
            </w:r>
          </w:p>
        </w:tc>
        <w:tc>
          <w:tcPr>
            <w:tcW w:type="dxa" w:w="2436"/>
          </w:tcPr>
          <w:p>
            <w:r>
              <w:t>Investigate acute trigger (med, infection, glucose, BPPV); consider ED</w:t>
            </w:r>
          </w:p>
        </w:tc>
        <w:tc>
          <w:tcPr>
            <w:tcW w:type="dxa" w:w="2436"/>
          </w:tcPr>
          <w:p>
            <w:r>
              <w:t>B</w:t>
            </w:r>
          </w:p>
        </w:tc>
        <w:tc>
          <w:tcPr>
            <w:tcW w:type="dxa" w:w="2436"/>
          </w:tcPr>
          <w:p>
            <w:r>
              <w:t>Pasqualetti 2017; Jehu 2021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</w:rPr>
        <w:t>6. References</w:t>
      </w:r>
    </w:p>
    <w:p>
      <w:pPr>
        <w:ind w:hanging="454" w:left="454"/>
      </w:pPr>
      <w:r>
        <w:rPr>
          <w:b/>
          <w:sz w:val="21"/>
        </w:rPr>
        <w:t xml:space="preserve">1. </w:t>
      </w:r>
      <w:r>
        <w:rPr>
          <w:sz w:val="21"/>
        </w:rPr>
        <w:t>American Geriatrics Society, British Geriatrics Society. (2010). Clinical Practice Guideline: Prevention of Falls in Older Persons. Journal of the American Geriatrics Society, 59(1), 148-157.</w:t>
      </w:r>
    </w:p>
    <w:p>
      <w:pPr>
        <w:ind w:hanging="454" w:left="454"/>
      </w:pPr>
      <w:r>
        <w:rPr>
          <w:b/>
          <w:sz w:val="21"/>
        </w:rPr>
        <w:t xml:space="preserve">2. </w:t>
      </w:r>
      <w:r>
        <w:rPr>
          <w:sz w:val="21"/>
        </w:rPr>
        <w:t>American Geriatrics Society Beers Criteria Update Expert Panel. (2023). AGS Beers Criteria 2023. Journal of the American Geriatrics Society, 71(7), 2052-2081.</w:t>
      </w:r>
    </w:p>
    <w:p>
      <w:pPr>
        <w:ind w:hanging="454" w:left="454"/>
      </w:pPr>
      <w:r>
        <w:rPr>
          <w:b/>
          <w:sz w:val="21"/>
        </w:rPr>
        <w:t xml:space="preserve">3. </w:t>
      </w:r>
      <w:r>
        <w:rPr>
          <w:sz w:val="21"/>
        </w:rPr>
        <w:t>Barry, E., Galvin, R., Keogh, C., Horgan, F., &amp; Fahey, T. (2014). Is the Timed Up and Go test a useful predictor of risk of falls in community dwelling older adults: a systematic review and meta-analysis. BMC Geriatrics, 14, 14.</w:t>
      </w:r>
    </w:p>
    <w:p>
      <w:pPr>
        <w:ind w:hanging="454" w:left="454"/>
      </w:pPr>
      <w:r>
        <w:rPr>
          <w:b/>
          <w:sz w:val="21"/>
        </w:rPr>
        <w:t xml:space="preserve">4. </w:t>
      </w:r>
      <w:r>
        <w:rPr>
          <w:sz w:val="21"/>
        </w:rPr>
        <w:t>Bloem, B. R., Overeem, S., van Dijk, J. G. (2007). Syncopal falls, drop attacks and their mimics. In: Bronstein AM, Brandt T, Woollacott MH, eds. Clinical Disorders of Balance, Posture and Gait (2nd ed.). London: Arnold.</w:t>
      </w:r>
    </w:p>
    <w:p>
      <w:pPr>
        <w:ind w:hanging="454" w:left="454"/>
      </w:pPr>
      <w:r>
        <w:rPr>
          <w:b/>
          <w:sz w:val="21"/>
        </w:rPr>
        <w:t xml:space="preserve">5. </w:t>
      </w:r>
      <w:r>
        <w:rPr>
          <w:sz w:val="21"/>
        </w:rPr>
        <w:t>Bohannon, R. W. (2006). Reference values for the Timed Up and Go Test: a descriptive meta-analysis. Journal of Geriatric Physical Therapy, 29(2), 64-68.</w:t>
      </w:r>
    </w:p>
    <w:p>
      <w:pPr>
        <w:ind w:hanging="454" w:left="454"/>
      </w:pPr>
      <w:r>
        <w:rPr>
          <w:b/>
          <w:sz w:val="21"/>
        </w:rPr>
        <w:t xml:space="preserve">6. </w:t>
      </w:r>
      <w:r>
        <w:rPr>
          <w:sz w:val="21"/>
        </w:rPr>
        <w:t>Centers for Disease Control and Prevention. (2019). Algorithm for Fall Risk Screening, Assessment, and Intervention. Atlanta (GA): National Center for Injury Prevention and Control.</w:t>
      </w:r>
    </w:p>
    <w:p>
      <w:pPr>
        <w:ind w:hanging="454" w:left="454"/>
      </w:pPr>
      <w:r>
        <w:rPr>
          <w:b/>
          <w:sz w:val="21"/>
        </w:rPr>
        <w:t xml:space="preserve">7. </w:t>
      </w:r>
      <w:r>
        <w:rPr>
          <w:sz w:val="21"/>
        </w:rPr>
        <w:t>Clemson, L., Stark, S., Pighills, A. C., Fairhall, N. J., Lamb, S. E., Ali, J., &amp; Sherrington, C. (2023). Environmental interventions for preventing falls in older people living in the community. Cochrane Database of Systematic Reviews, 1, CD013258.</w:t>
      </w:r>
    </w:p>
    <w:p>
      <w:pPr>
        <w:ind w:hanging="454" w:left="454"/>
      </w:pPr>
      <w:r>
        <w:rPr>
          <w:b/>
          <w:sz w:val="21"/>
        </w:rPr>
        <w:t xml:space="preserve">8. </w:t>
      </w:r>
      <w:r>
        <w:rPr>
          <w:sz w:val="21"/>
        </w:rPr>
        <w:t>Cockayne, S., et al. (2014). Multifaceted podiatry intervention for fall prevention. BMJ, 348, g2919.</w:t>
      </w:r>
    </w:p>
    <w:p>
      <w:pPr>
        <w:ind w:hanging="454" w:left="454"/>
      </w:pPr>
      <w:r>
        <w:rPr>
          <w:b/>
          <w:sz w:val="21"/>
        </w:rPr>
        <w:t xml:space="preserve">9. </w:t>
      </w:r>
      <w:r>
        <w:rPr>
          <w:sz w:val="21"/>
        </w:rPr>
        <w:t>Dhalwani, N. N., et al. (2017). Association between polypharmacy and falls in older adults: a longitudinal study from England. BMJ Open, 7(10), e016358.</w:t>
      </w:r>
    </w:p>
    <w:p>
      <w:pPr>
        <w:ind w:hanging="454" w:left="454"/>
      </w:pPr>
      <w:r>
        <w:rPr>
          <w:b/>
          <w:sz w:val="21"/>
        </w:rPr>
        <w:t xml:space="preserve">10. </w:t>
      </w:r>
      <w:r>
        <w:rPr>
          <w:sz w:val="21"/>
        </w:rPr>
        <w:t>Dynseo. (2026). Nighttime falls in nursing homes: why they happen and how to prevent them. Dynseo White Paper.</w:t>
      </w:r>
    </w:p>
    <w:p>
      <w:pPr>
        <w:ind w:hanging="454" w:left="454"/>
      </w:pPr>
      <w:r>
        <w:rPr>
          <w:b/>
          <w:sz w:val="21"/>
        </w:rPr>
        <w:t xml:space="preserve">11. </w:t>
      </w:r>
      <w:r>
        <w:rPr>
          <w:sz w:val="21"/>
        </w:rPr>
        <w:t>Freeman, R., Wieling, W., Axelrod, F. B., et al. (2011). Consensus statement on the definition of orthostatic hypotension, neurally mediated syncope and the postural tachycardia syndrome. Clinical Autonomic Research, 21(2), 69-72.</w:t>
      </w:r>
    </w:p>
    <w:p>
      <w:pPr>
        <w:ind w:hanging="454" w:left="454"/>
      </w:pPr>
      <w:r>
        <w:rPr>
          <w:b/>
          <w:sz w:val="21"/>
        </w:rPr>
        <w:t xml:space="preserve">12. </w:t>
      </w:r>
      <w:r>
        <w:rPr>
          <w:sz w:val="21"/>
        </w:rPr>
        <w:t>Gates, S., Smith, L. A., Fisher, J. D., &amp; Lamb, S. E. (2008). Systematic review of accuracy of screening instruments for identifying fallers in community-dwelling elderly. Journal of Clinical Epidemiology, 61(6), 544-556.</w:t>
      </w:r>
    </w:p>
    <w:p>
      <w:pPr>
        <w:ind w:hanging="454" w:left="454"/>
      </w:pPr>
      <w:r>
        <w:rPr>
          <w:b/>
          <w:sz w:val="21"/>
        </w:rPr>
        <w:t xml:space="preserve">13. </w:t>
      </w:r>
      <w:r>
        <w:rPr>
          <w:sz w:val="21"/>
        </w:rPr>
        <w:t>Gillespie, L. D., Robertson, M. C., Gillespie, W. J., et al. (2012). Interventions for preventing falls in older people living in the community. Cochrane Database of Systematic Reviews, 9, CD007146.</w:t>
      </w:r>
    </w:p>
    <w:p>
      <w:pPr>
        <w:ind w:hanging="454" w:left="454"/>
      </w:pPr>
      <w:r>
        <w:rPr>
          <w:b/>
          <w:sz w:val="21"/>
        </w:rPr>
        <w:t xml:space="preserve">14. </w:t>
      </w:r>
      <w:r>
        <w:rPr>
          <w:sz w:val="21"/>
        </w:rPr>
        <w:t>Jehu, D. A., Davis, J. C., Falck, R. S., et al. (2021). Risk factors for recurrent falls in older adults: a systematic review with meta-analysis. Maturitas, 144, 23-28.</w:t>
      </w:r>
    </w:p>
    <w:p>
      <w:pPr>
        <w:ind w:hanging="454" w:left="454"/>
      </w:pPr>
      <w:r>
        <w:rPr>
          <w:b/>
          <w:sz w:val="21"/>
        </w:rPr>
        <w:t xml:space="preserve">15. </w:t>
      </w:r>
      <w:r>
        <w:rPr>
          <w:sz w:val="21"/>
        </w:rPr>
        <w:t>Kim, S. Y., et al. (2017). Nocturia is associated with slipping and falling. PLoS ONE, 12(1), e0169690.</w:t>
      </w:r>
    </w:p>
    <w:p>
      <w:pPr>
        <w:ind w:hanging="454" w:left="454"/>
      </w:pPr>
      <w:r>
        <w:rPr>
          <w:b/>
          <w:sz w:val="21"/>
        </w:rPr>
        <w:t xml:space="preserve">16. </w:t>
      </w:r>
      <w:r>
        <w:rPr>
          <w:sz w:val="21"/>
        </w:rPr>
        <w:t>Lipardo, D. S., Aseron, A. M. C., Kwan, M. M., &amp; Tsang, W. W. (2017). Effect of exercise and cognitive training on falls and fall-related factors in older adults with mild cognitive impairment: a systematic review. Archives of Physical Medicine and Rehabilitation, 98(10), 2079-2096.</w:t>
      </w:r>
    </w:p>
    <w:p>
      <w:pPr>
        <w:ind w:hanging="454" w:left="454"/>
      </w:pPr>
      <w:r>
        <w:rPr>
          <w:b/>
          <w:sz w:val="21"/>
        </w:rPr>
        <w:t xml:space="preserve">17. </w:t>
      </w:r>
      <w:r>
        <w:rPr>
          <w:sz w:val="21"/>
        </w:rPr>
        <w:t>Mahoney, F. I., &amp; Barthel, D. W. (1965). Functional evaluation: the Barthel Index. Maryland State Medical Journal, 14, 56-61.</w:t>
      </w:r>
    </w:p>
    <w:p>
      <w:pPr>
        <w:ind w:hanging="454" w:left="454"/>
      </w:pPr>
      <w:r>
        <w:rPr>
          <w:b/>
          <w:sz w:val="21"/>
        </w:rPr>
        <w:t xml:space="preserve">18. </w:t>
      </w:r>
      <w:r>
        <w:rPr>
          <w:sz w:val="21"/>
        </w:rPr>
        <w:t>Menz, H. B. (2019). Podiatry interventions to prevent falls in older people: a systematic review and meta-analysis. Age and Ageing, 48(3), 327-336.</w:t>
      </w:r>
    </w:p>
    <w:p>
      <w:pPr>
        <w:ind w:hanging="454" w:left="454"/>
      </w:pPr>
      <w:r>
        <w:rPr>
          <w:b/>
          <w:sz w:val="21"/>
        </w:rPr>
        <w:t xml:space="preserve">19. </w:t>
      </w:r>
      <w:r>
        <w:rPr>
          <w:sz w:val="21"/>
        </w:rPr>
        <w:t>National Institute for Health and Care Excellence. (2013). Falls in older people: assessing risk and prevention. Clinical Guideline CG161. London: NICE.</w:t>
      </w:r>
    </w:p>
    <w:p>
      <w:pPr>
        <w:ind w:hanging="454" w:left="454"/>
      </w:pPr>
      <w:r>
        <w:rPr>
          <w:b/>
          <w:sz w:val="21"/>
        </w:rPr>
        <w:t xml:space="preserve">20. </w:t>
      </w:r>
      <w:r>
        <w:rPr>
          <w:sz w:val="21"/>
        </w:rPr>
        <w:t>O'Mahony, D., Cherubini, A., Guiteras, A. R., et al. (2023). STOPP/START criteria for polypharmacy in older adults: version 3. European Geriatric Medicine.</w:t>
      </w:r>
    </w:p>
    <w:p>
      <w:pPr>
        <w:ind w:hanging="454" w:left="454"/>
      </w:pPr>
      <w:r>
        <w:rPr>
          <w:b/>
          <w:sz w:val="21"/>
        </w:rPr>
        <w:t xml:space="preserve">21. </w:t>
      </w:r>
      <w:r>
        <w:rPr>
          <w:sz w:val="21"/>
        </w:rPr>
        <w:t>Pasqualetti, G., et al. (2017). Clinical differences among the elderly admitted to the emergency department for accidental or unexplained falls and syncope. Clinical Interventions in Aging, 12, 1935-1942.</w:t>
      </w:r>
    </w:p>
    <w:p>
      <w:pPr>
        <w:ind w:hanging="454" w:left="454"/>
      </w:pPr>
      <w:r>
        <w:rPr>
          <w:b/>
          <w:sz w:val="21"/>
        </w:rPr>
        <w:t xml:space="preserve">22. </w:t>
      </w:r>
      <w:r>
        <w:rPr>
          <w:sz w:val="21"/>
        </w:rPr>
        <w:t>Pichierri, G., et al. (2021). Efficacy of exercise-based interventions in preventing falls among community-dwelling older persons with cognitive impairment: an updated systematic review and meta-analysis. Aging Clinical and Experimental Research, 33, 2481-2495.</w:t>
      </w:r>
    </w:p>
    <w:p>
      <w:pPr>
        <w:ind w:hanging="454" w:left="454"/>
      </w:pPr>
      <w:r>
        <w:rPr>
          <w:b/>
          <w:sz w:val="21"/>
        </w:rPr>
        <w:t xml:space="preserve">23. </w:t>
      </w:r>
      <w:r>
        <w:rPr>
          <w:sz w:val="21"/>
        </w:rPr>
        <w:t>Podsiadlo, D., &amp; Richardson, S. (1991). The Timed Up &amp; Go: a test of basic functional mobility for frail elderly persons. Journal of the American Geriatrics Society, 39(2), 142-148.</w:t>
      </w:r>
    </w:p>
    <w:p>
      <w:pPr>
        <w:ind w:hanging="454" w:left="454"/>
      </w:pPr>
      <w:r>
        <w:rPr>
          <w:b/>
          <w:sz w:val="21"/>
        </w:rPr>
        <w:t xml:space="preserve">24. </w:t>
      </w:r>
      <w:r>
        <w:rPr>
          <w:sz w:val="21"/>
        </w:rPr>
        <w:t>Sherrington, C., Michaleff, Z. A., Fairhall, N., et al. (2017). Exercise to prevent falls in older adults: an updated systematic review and meta-analysis. British Journal of Sports Medicine, 51(24), 1750-1758.</w:t>
      </w:r>
    </w:p>
    <w:p>
      <w:pPr>
        <w:ind w:hanging="454" w:left="454"/>
      </w:pPr>
      <w:r>
        <w:rPr>
          <w:b/>
          <w:sz w:val="21"/>
        </w:rPr>
        <w:t xml:space="preserve">25. </w:t>
      </w:r>
      <w:r>
        <w:rPr>
          <w:sz w:val="21"/>
        </w:rPr>
        <w:t>Shumway-Cook, A., Brauer, S., &amp; Woollacott, M. (2000). Predicting the probability for falls in community-dwelling older adults using the Timed Up &amp; Go Test. Physical Therapy, 80(9), 896-903.</w:t>
      </w:r>
    </w:p>
    <w:p>
      <w:pPr>
        <w:ind w:hanging="454" w:left="454"/>
      </w:pPr>
      <w:r>
        <w:rPr>
          <w:b/>
          <w:sz w:val="21"/>
        </w:rPr>
        <w:t xml:space="preserve">26. </w:t>
      </w:r>
      <w:r>
        <w:rPr>
          <w:sz w:val="21"/>
        </w:rPr>
        <w:t>Stone, K. L., Ancoli-Israel, S., Blackwell, T., et al. (2008). Actigraphy-measured sleep characteristics and risk of falls in older women. Archives of Internal Medicine, 168(16), 1768-1775.</w:t>
      </w:r>
    </w:p>
    <w:p>
      <w:pPr>
        <w:ind w:hanging="454" w:left="454"/>
      </w:pPr>
      <w:r>
        <w:rPr>
          <w:b/>
          <w:sz w:val="21"/>
        </w:rPr>
        <w:t xml:space="preserve">27. </w:t>
      </w:r>
      <w:r>
        <w:rPr>
          <w:sz w:val="21"/>
        </w:rPr>
        <w:t>World Health Organization. (2021). Falls. Fact Sheet. Geneva: WHO.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