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8"/>
        </w:rPr>
        <w:t>FEATURE-DRIVEN FALL-RISK REDUCTION</w:t>
        <w:br/>
        <w:t>INTERVENTIONS — AGE-BANDED EDITION</w:t>
        <w:br/>
        <w:t>(60-70 / 71-80 / 81-100)</w:t>
      </w:r>
    </w:p>
    <w:p/>
    <w:p>
      <w:pPr>
        <w:jc w:val="center"/>
      </w:pPr>
      <w:r>
        <w:rPr>
          <w:i/>
          <w:sz w:val="24"/>
        </w:rPr>
        <w:t>Each of the 14 model features is mapped to age-band-specific reduction actions, all with citations.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This age-banded edition upgrades the previous 60-100 total edition by stratifying every feature's reduction actions into three age bands with different clinical priorities:</w:t>
      </w:r>
    </w:p>
    <w:p>
      <w:pPr>
        <w:pStyle w:val="ListBullet"/>
        <w:ind w:left="340"/>
      </w:pPr>
      <w:r>
        <w:rPr>
          <w:sz w:val="22"/>
        </w:rPr>
        <w:t>60-70 years (primary prevention): physiological reserve is highest, exercise response is best, and fall-risk thresholds should be interpreted more sensitively (e.g., TUG &gt; 1 SD above the age-norm). Focus: maintain strength/balance, optimise modifiable features, annual screening.</w:t>
      </w:r>
    </w:p>
    <w:p>
      <w:pPr>
        <w:pStyle w:val="ListBullet"/>
        <w:ind w:left="340"/>
      </w:pPr>
      <w:r>
        <w:rPr>
          <w:sz w:val="22"/>
        </w:rPr>
        <w:t>71-80 years (secondary prevention): multi-morbidity and polypharmacy rise sharply. Focus: sustained exercise, aggressive medication review, multifactorial assessment triggered by any prior fall.</w:t>
      </w:r>
    </w:p>
    <w:p>
      <w:pPr>
        <w:pStyle w:val="ListBullet"/>
        <w:ind w:left="340"/>
      </w:pPr>
      <w:r>
        <w:rPr>
          <w:sz w:val="22"/>
        </w:rPr>
        <w:t>81-100 years (tertiary prevention): frailty dominates; injury-prevention and fracture-prevention become priorities alongside fall prevention. Focus: low-intensity supervised exercise, home hazard control, aggressive deprescribing, rapid post-fall assessment.</w:t>
      </w:r>
    </w:p>
    <w:p>
      <w:r>
        <w:rPr>
          <w:rFonts w:ascii="Calibri" w:hAnsi="Calibri"/>
          <w:b w:val="0"/>
          <w:i w:val="0"/>
          <w:sz w:val="22"/>
        </w:rPr>
        <w:t>Evidence-grade convention: Level A = meta-analysis / Cochrane review; Level B = large cohort or clinical guideline; Level C = smaller trial / expert consensus.</w:t>
      </w:r>
    </w:p>
    <w:p>
      <w:pPr>
        <w:pStyle w:val="Heading1"/>
      </w:pPr>
      <w:r>
        <w:rPr>
          <w:rFonts w:ascii="Calibri" w:hAnsi="Calibri"/>
        </w:rPr>
        <w:t>2. Methodology</w:t>
      </w:r>
    </w:p>
    <w:p>
      <w:r>
        <w:rPr>
          <w:rFonts w:ascii="Calibri" w:hAnsi="Calibri"/>
          <w:b w:val="0"/>
          <w:i w:val="0"/>
          <w:sz w:val="22"/>
        </w:rPr>
        <w:t>Age bands follow the clinical staging used in geriatric fall-prevention guidance:</w:t>
      </w:r>
    </w:p>
    <w:p>
      <w:pPr>
        <w:pStyle w:val="ListBullet"/>
        <w:ind w:left="340"/>
      </w:pPr>
      <w:r>
        <w:rPr>
          <w:sz w:val="22"/>
        </w:rPr>
        <w:t>60-70: 'young-old', still community-active, highest exercise benefit (Sherrington 2017).</w:t>
      </w:r>
    </w:p>
    <w:p>
      <w:pPr>
        <w:pStyle w:val="ListBullet"/>
        <w:ind w:left="340"/>
      </w:pPr>
      <w:r>
        <w:rPr>
          <w:sz w:val="22"/>
        </w:rPr>
        <w:t>71-80: 'middle-old', rising multi-morbidity and polypharmacy.</w:t>
      </w:r>
    </w:p>
    <w:p>
      <w:pPr>
        <w:pStyle w:val="ListBullet"/>
        <w:ind w:left="340"/>
      </w:pPr>
      <w:r>
        <w:rPr>
          <w:sz w:val="22"/>
        </w:rPr>
        <w:t>81-100: 'oldest-old', frailty, sarcopenia and fracture risk dominate (WHO 2021).</w:t>
      </w:r>
    </w:p>
    <w:p>
      <w:r>
        <w:rPr>
          <w:rFonts w:ascii="Calibri" w:hAnsi="Calibri"/>
          <w:b w:val="0"/>
          <w:i w:val="0"/>
          <w:sz w:val="22"/>
        </w:rPr>
        <w:t>For each feature, the question asked was: "if this value is elevated, what is the best evidence-based action to lower it (or lower the risk it represents) at each age band?" Sources: Cochrane reviews, CDC STEADI 2019, AGS Beers 2023, STOPP/START 2023, NICE CG161 2013, AGS/BGS 2010, and original meta-analyses 2017-2024.</w:t>
      </w:r>
    </w:p>
    <w:p>
      <w:pPr>
        <w:pStyle w:val="Heading1"/>
      </w:pPr>
      <w:r>
        <w:rPr>
          <w:rFonts w:ascii="Calibri" w:hAnsi="Calibri"/>
        </w:rPr>
        <w:t>3. Cross-Cutting Interventions (age-band dose)</w:t>
      </w:r>
    </w:p>
    <w:p>
      <w:pPr>
        <w:pStyle w:val="Heading2"/>
      </w:pPr>
      <w:r>
        <w:rPr>
          <w:rFonts w:ascii="Calibri" w:hAnsi="Calibri"/>
        </w:rPr>
        <w:t>3.1 Exercise (balance + strength)</w:t>
      </w:r>
    </w:p>
    <w:p>
      <w:r>
        <w:rPr>
          <w:rFonts w:ascii="Calibri" w:hAnsi="Calibri"/>
          <w:b w:val="0"/>
          <w:i w:val="0"/>
          <w:sz w:val="22"/>
        </w:rPr>
        <w:t>Sherrington 2017 (88 trials, n=19,478): balance-challenging exercise &gt;3 h/week reduces falls by 39% (RaR 0.61, 95% CI 0.53-0.72). Age-band dose:</w:t>
      </w:r>
    </w:p>
    <w:p>
      <w:pPr>
        <w:pStyle w:val="ListBullet"/>
        <w:ind w:left="340"/>
      </w:pPr>
      <w:r>
        <w:rPr>
          <w:sz w:val="22"/>
        </w:rPr>
        <w:t>60-70: aim 3+ h/week; can include Tai Chi, Otago, resistance + balance (Evidence A).</w:t>
      </w:r>
    </w:p>
    <w:p>
      <w:pPr>
        <w:pStyle w:val="ListBullet"/>
        <w:ind w:left="340"/>
      </w:pPr>
      <w:r>
        <w:rPr>
          <w:sz w:val="22"/>
        </w:rPr>
        <w:t>71-80: 2-3 h/week supervised or home-based; keep balance challenge (Evidence A).</w:t>
      </w:r>
    </w:p>
    <w:p>
      <w:pPr>
        <w:pStyle w:val="ListBullet"/>
        <w:ind w:left="340"/>
      </w:pPr>
      <w:r>
        <w:rPr>
          <w:sz w:val="22"/>
        </w:rPr>
        <w:t>81-100: 1-2 h/week low-intensity, chair-based or supervised; safety first, fracture risk high (Evidence B).</w:t>
      </w:r>
    </w:p>
    <w:p>
      <w:pPr>
        <w:pStyle w:val="Heading2"/>
      </w:pPr>
      <w:r>
        <w:rPr>
          <w:rFonts w:ascii="Calibri" w:hAnsi="Calibri"/>
        </w:rPr>
        <w:t>3.2 Home fall-hazard reduction</w:t>
      </w:r>
    </w:p>
    <w:p>
      <w:r>
        <w:rPr>
          <w:rFonts w:ascii="Calibri" w:hAnsi="Calibri"/>
          <w:b w:val="0"/>
          <w:i w:val="0"/>
          <w:sz w:val="22"/>
        </w:rPr>
        <w:t>Clemson 2023 Cochrane (22 studies, n=8,463): home hazard reduction lowers fall rate by 26% (95% CI 9-39%), 38% in higher-risk people.</w:t>
      </w:r>
    </w:p>
    <w:p>
      <w:pPr>
        <w:pStyle w:val="ListBullet"/>
        <w:ind w:left="340"/>
      </w:pPr>
      <w:r>
        <w:rPr>
          <w:sz w:val="22"/>
        </w:rPr>
        <w:t>All bands: declutter, lighting, stair rails, non-slip strips, proper footwear (Evidence A).</w:t>
      </w:r>
    </w:p>
    <w:p>
      <w:pPr>
        <w:pStyle w:val="ListBullet"/>
        <w:ind w:left="340"/>
      </w:pPr>
      <w:r>
        <w:rPr>
          <w:sz w:val="22"/>
        </w:rPr>
        <w:t>81-100: highest-yield band — OT-led home visit strongly recommended (Evidence A).</w:t>
      </w:r>
    </w:p>
    <w:p>
      <w:pPr>
        <w:pStyle w:val="Heading2"/>
      </w:pPr>
      <w:r>
        <w:rPr>
          <w:rFonts w:ascii="Calibri" w:hAnsi="Calibri"/>
        </w:rPr>
        <w:t>3.3 Multifactorial assessment + intervention</w:t>
      </w:r>
    </w:p>
    <w:p>
      <w:r>
        <w:rPr>
          <w:rFonts w:ascii="Calibri" w:hAnsi="Calibri"/>
          <w:b w:val="0"/>
          <w:i w:val="0"/>
          <w:sz w:val="22"/>
        </w:rPr>
        <w:t>Gillespie 2012 Cochrane: multifactorial intervention reduced fall rate 24% (RaR 0.76).</w:t>
      </w:r>
    </w:p>
    <w:p>
      <w:pPr>
        <w:pStyle w:val="ListBullet"/>
        <w:ind w:left="340"/>
      </w:pPr>
      <w:r>
        <w:rPr>
          <w:sz w:val="22"/>
        </w:rPr>
        <w:t>Any prior fall at any age triggers the STEADI multifactorial bundle (Evidence A).</w:t>
      </w:r>
    </w:p>
    <w:p>
      <w:pPr>
        <w:pStyle w:val="ListBullet"/>
        <w:ind w:left="340"/>
      </w:pPr>
      <w:r>
        <w:rPr>
          <w:sz w:val="22"/>
        </w:rPr>
        <w:t>81-100: perform the bundle within 1-2 weeks of a fall; consider same-day if clustering (Evidence B).</w:t>
      </w:r>
    </w:p>
    <w:p>
      <w:pPr>
        <w:pStyle w:val="Heading2"/>
      </w:pPr>
      <w:r>
        <w:rPr>
          <w:rFonts w:ascii="Calibri" w:hAnsi="Calibri"/>
        </w:rPr>
        <w:t>3.4 Vitamin D</w:t>
      </w:r>
    </w:p>
    <w:p>
      <w:r>
        <w:rPr>
          <w:rFonts w:ascii="Calibri" w:hAnsi="Calibri"/>
          <w:b w:val="0"/>
          <w:i w:val="0"/>
          <w:sz w:val="22"/>
        </w:rPr>
        <w:t>Gillespie 2012: no overall benefit, but benefit in baseline-deficient people.</w:t>
      </w:r>
    </w:p>
    <w:p>
      <w:pPr>
        <w:pStyle w:val="ListBullet"/>
        <w:ind w:left="340"/>
      </w:pPr>
      <w:r>
        <w:rPr>
          <w:sz w:val="22"/>
        </w:rPr>
        <w:t>Screen 25(OH)D once at 60-65; supplement 800-1000 IU/day only if &lt;20 ng/mL (Evidence B).</w:t>
      </w:r>
    </w:p>
    <w:p>
      <w:pPr>
        <w:pStyle w:val="Heading2"/>
      </w:pPr>
      <w:r>
        <w:rPr>
          <w:rFonts w:ascii="Calibri" w:hAnsi="Calibri"/>
        </w:rPr>
        <w:t>3.5 Footwear / foot care</w:t>
      </w:r>
    </w:p>
    <w:p>
      <w:r>
        <w:rPr>
          <w:rFonts w:ascii="Calibri" w:hAnsi="Calibri"/>
          <w:b w:val="0"/>
          <w:i w:val="0"/>
          <w:sz w:val="22"/>
        </w:rPr>
        <w:t>Menz 2019 systematic review: high-collar, firm-soled, slip-resistant, lace/Velcro footwear.</w:t>
      </w:r>
    </w:p>
    <w:p>
      <w:pPr>
        <w:pStyle w:val="ListBullet"/>
        <w:ind w:left="340"/>
      </w:pPr>
      <w:r>
        <w:rPr>
          <w:sz w:val="22"/>
        </w:rPr>
        <w:t>81-100: podiatry referral for disabling foot pain; customised insoles (Evidence B).</w:t>
      </w:r>
    </w:p>
    <w:p>
      <w:pPr>
        <w:pStyle w:val="Heading2"/>
      </w:pPr>
      <w:r>
        <w:rPr>
          <w:rFonts w:ascii="Calibri" w:hAnsi="Calibri"/>
        </w:rPr>
        <w:t>3.6 Vision</w:t>
      </w:r>
    </w:p>
    <w:p>
      <w:r>
        <w:rPr>
          <w:rFonts w:ascii="Calibri" w:hAnsi="Calibri"/>
          <w:b w:val="0"/>
          <w:i w:val="0"/>
          <w:sz w:val="22"/>
        </w:rPr>
        <w:t>Gillespie 2012: first-eye cataract surgery cut fall rate 34% in women (RaR 0.66).</w:t>
      </w:r>
    </w:p>
    <w:p>
      <w:pPr>
        <w:pStyle w:val="ListBullet"/>
        <w:ind w:left="340"/>
      </w:pPr>
      <w:r>
        <w:rPr>
          <w:sz w:val="22"/>
        </w:rPr>
        <w:t>All bands: annual eye exam; avoid multifocal lenses outdoors (Evidence A).</w:t>
      </w:r>
    </w:p>
    <w:p>
      <w:pPr>
        <w:pStyle w:val="Heading2"/>
      </w:pPr>
      <w:r>
        <w:rPr>
          <w:rFonts w:ascii="Calibri" w:hAnsi="Calibri"/>
        </w:rPr>
        <w:t>3.7 Fracture / bone health</w:t>
      </w:r>
    </w:p>
    <w:p>
      <w:r>
        <w:rPr>
          <w:rFonts w:ascii="Calibri" w:hAnsi="Calibri"/>
          <w:b w:val="0"/>
          <w:i w:val="0"/>
          <w:sz w:val="22"/>
        </w:rPr>
        <w:t>Complementary to fall prevention: osteoporosis screening and treatment reduce fracture consequence when a fall occurs.</w:t>
      </w:r>
    </w:p>
    <w:p>
      <w:pPr>
        <w:pStyle w:val="ListBullet"/>
        <w:ind w:left="340"/>
      </w:pPr>
      <w:r>
        <w:rPr>
          <w:sz w:val="22"/>
        </w:rPr>
        <w:t>60-70 (women): DXA at menopause or risk factors; 81-100 (both sexes): DXA + fall consequence planning (Evidence B).</w:t>
      </w:r>
    </w:p>
    <w:p>
      <w:pPr>
        <w:pStyle w:val="Heading1"/>
      </w:pPr>
      <w:r>
        <w:rPr>
          <w:rFonts w:ascii="Calibri" w:hAnsi="Calibri"/>
        </w:rPr>
        <w:t>4. Feature-by-Feature Reduction Actions (age-banded)</w:t>
      </w:r>
    </w:p>
    <w:p>
      <w:pPr>
        <w:pStyle w:val="Heading2"/>
      </w:pPr>
      <w:r>
        <w:rPr>
          <w:rFonts w:ascii="Calibri" w:hAnsi="Calibri"/>
        </w:rPr>
        <w:t>4.1 Feature: age (60-100)</w:t>
      </w:r>
    </w:p>
    <w:p>
      <w:r>
        <w:rPr>
          <w:rFonts w:ascii="Calibri" w:hAnsi="Calibri"/>
          <w:b w:val="0"/>
          <w:i/>
          <w:sz w:val="22"/>
        </w:rPr>
        <w:t>Category: INDIRECTLY REDUCIBLE</w:t>
      </w:r>
    </w:p>
    <w:p>
      <w:r>
        <w:rPr>
          <w:rFonts w:ascii="Calibri" w:hAnsi="Calibri"/>
          <w:b w:val="0"/>
          <w:i w:val="0"/>
          <w:sz w:val="22"/>
        </w:rPr>
        <w:t>Elevated direction: higher age raises risk, especially past 75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Engage in balance/strength exercise 3+ h/week — best response to training (Sherrington 2017).</w:t>
      </w:r>
    </w:p>
    <w:p>
      <w:pPr>
        <w:pStyle w:val="ListBullet"/>
        <w:ind w:left="680"/>
      </w:pPr>
      <w:r>
        <w:rPr>
          <w:sz w:val="22"/>
        </w:rPr>
        <w:t>Annual STEADI screening; optimise all modifiable features (meds, vision, orthostatics).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Sustain exercise 2-3 h/week; keep balance challenge (Evidence A).</w:t>
      </w:r>
    </w:p>
    <w:p>
      <w:pPr>
        <w:pStyle w:val="ListBullet"/>
        <w:ind w:left="680"/>
      </w:pPr>
      <w:r>
        <w:rPr>
          <w:sz w:val="22"/>
        </w:rPr>
        <w:t>Screen for new multi-morbidity (hypertension, diabetes, heart failure) and adjust meds.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Low-intensity supervised exercise 1-2 h/week; prioritise safety (Evidence B).</w:t>
      </w:r>
    </w:p>
    <w:p>
      <w:pPr>
        <w:pStyle w:val="ListBullet"/>
        <w:ind w:left="680"/>
      </w:pPr>
      <w:r>
        <w:rPr>
          <w:sz w:val="22"/>
        </w:rPr>
        <w:t>Aggressive deprescribing; multifactorial assessment after ANY fall.</w:t>
      </w:r>
    </w:p>
    <w:p>
      <w:r>
        <w:rPr>
          <w:rFonts w:ascii="Calibri" w:hAnsi="Calibri"/>
          <w:b w:val="0"/>
          <w:i w:val="0"/>
          <w:sz w:val="22"/>
        </w:rPr>
        <w:t>Evidence: A (Sherrington 2017; CDC STEADI 2019)</w:t>
      </w:r>
    </w:p>
    <w:p>
      <w:pPr>
        <w:pStyle w:val="Heading2"/>
      </w:pPr>
      <w:r>
        <w:rPr>
          <w:rFonts w:ascii="Calibri" w:hAnsi="Calibri"/>
        </w:rPr>
        <w:t>4.2 Feature: sex (M / F)</w:t>
      </w:r>
    </w:p>
    <w:p>
      <w:r>
        <w:rPr>
          <w:rFonts w:ascii="Calibri" w:hAnsi="Calibri"/>
          <w:b w:val="0"/>
          <w:i/>
          <w:sz w:val="22"/>
        </w:rPr>
        <w:t>Category: INDIRECTLY REDUCIBLE</w:t>
      </w:r>
    </w:p>
    <w:p>
      <w:r>
        <w:rPr>
          <w:rFonts w:ascii="Calibri" w:hAnsi="Calibri"/>
          <w:b w:val="0"/>
          <w:i w:val="0"/>
          <w:sz w:val="22"/>
        </w:rPr>
        <w:t>Elevated direction: female sex has slightly higher fall incidence (epidemiology)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Women: screen for urinary urgency → bedside commode; DXA for osteoporosis (Evidence B).</w:t>
      </w:r>
    </w:p>
    <w:p>
      <w:pPr>
        <w:pStyle w:val="ListBullet"/>
        <w:ind w:left="680"/>
      </w:pPr>
      <w:r>
        <w:rPr>
          <w:sz w:val="22"/>
        </w:rPr>
        <w:t>Men: screen alcohol intake; check orthostatic hypotension after antihypertensive changes.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as 60-70, plus annual re-check; women: monitor bone density trend.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frailty screen (grip strength, gait speed); plan caregiver support (Evidence B).</w:t>
      </w:r>
    </w:p>
    <w:p>
      <w:r>
        <w:rPr>
          <w:rFonts w:ascii="Calibri" w:hAnsi="Calibri"/>
          <w:b w:val="0"/>
          <w:i w:val="0"/>
          <w:sz w:val="22"/>
        </w:rPr>
        <w:t>Evidence: B (WHO 2021; CDC STEADI 2019)</w:t>
      </w:r>
    </w:p>
    <w:p>
      <w:pPr>
        <w:pStyle w:val="Heading2"/>
      </w:pPr>
      <w:r>
        <w:rPr>
          <w:rFonts w:ascii="Calibri" w:hAnsi="Calibri"/>
        </w:rPr>
        <w:t>4.3 Feature: night_bed_exits (0-8/night)</w:t>
      </w:r>
    </w:p>
    <w:p>
      <w:r>
        <w:rPr>
          <w:rFonts w:ascii="Calibri" w:hAnsi="Calibri"/>
          <w:b w:val="0"/>
          <w:i/>
          <w:sz w:val="22"/>
        </w:rPr>
        <w:t>Category: DIRECTLY REDUCIBLE</w:t>
      </w:r>
    </w:p>
    <w:p>
      <w:r>
        <w:rPr>
          <w:rFonts w:ascii="Calibri" w:hAnsi="Calibri"/>
          <w:b w:val="0"/>
          <w:i w:val="0"/>
          <w:sz w:val="22"/>
        </w:rPr>
        <w:t>Elevated direction: &gt;= 3/night is associated with ~1.4-fold higher fall risk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Limit fluids 2 h before bed; avoid evening caffeine/alcohol.</w:t>
      </w:r>
    </w:p>
    <w:p>
      <w:pPr>
        <w:pStyle w:val="ListBullet"/>
        <w:ind w:left="680"/>
      </w:pPr>
      <w:r>
        <w:rPr>
          <w:sz w:val="22"/>
        </w:rPr>
        <w:t>Bedside commode if &gt;= 3 exits/night; night light; non-slip slippers (not socks).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review nocturia medications; men → urology (BPH), women → pelvic-floor PT.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night-time supervision / sensor-alarm mattress; caregiver rounds (Evidence B).</w:t>
      </w:r>
    </w:p>
    <w:p>
      <w:r>
        <w:rPr>
          <w:rFonts w:ascii="Calibri" w:hAnsi="Calibri"/>
          <w:b w:val="0"/>
          <w:i w:val="0"/>
          <w:sz w:val="22"/>
        </w:rPr>
        <w:t>Evidence: B (Kim 2017; Dynseo 2026)</w:t>
      </w:r>
    </w:p>
    <w:p>
      <w:pPr>
        <w:pStyle w:val="Heading2"/>
      </w:pPr>
      <w:r>
        <w:rPr>
          <w:rFonts w:ascii="Calibri" w:hAnsi="Calibri"/>
        </w:rPr>
        <w:t>4.4 Feature: night_activity_duration_min (0-120 min)</w:t>
      </w:r>
    </w:p>
    <w:p>
      <w:r>
        <w:rPr>
          <w:rFonts w:ascii="Calibri" w:hAnsi="Calibri"/>
          <w:b w:val="0"/>
          <w:i/>
          <w:sz w:val="22"/>
        </w:rPr>
        <w:t>Category: DIRECTLY REDUCIBLE</w:t>
      </w:r>
    </w:p>
    <w:p>
      <w:r>
        <w:rPr>
          <w:rFonts w:ascii="Calibri" w:hAnsi="Calibri"/>
          <w:b w:val="0"/>
          <w:i w:val="0"/>
          <w:sz w:val="22"/>
        </w:rPr>
        <w:t>Elevated direction: &gt; 60 min reflects sleep fragmentation, ~25-30% higher fall risk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Screen for sleep apnoea (STOP-BANG) → polysomnography if positive (CPAP/MAD effective).</w:t>
      </w:r>
    </w:p>
    <w:p>
      <w:pPr>
        <w:pStyle w:val="ListBullet"/>
        <w:ind w:left="680"/>
      </w:pPr>
      <w:r>
        <w:rPr>
          <w:sz w:val="22"/>
        </w:rPr>
        <w:t>Insomnia → CBT-I first-line; treat musculoskeletal pain.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review hypnotics (deprescribe BZD/Z-drugs per Beers 2023).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manage wandering (cognitive band 2); secure environment, night supervision.</w:t>
      </w:r>
    </w:p>
    <w:p>
      <w:r>
        <w:rPr>
          <w:rFonts w:ascii="Calibri" w:hAnsi="Calibri"/>
          <w:b w:val="0"/>
          <w:i w:val="0"/>
          <w:sz w:val="22"/>
        </w:rPr>
        <w:t>Evidence: B (Stone 2008; AAFP 2024)</w:t>
      </w:r>
    </w:p>
    <w:p>
      <w:pPr>
        <w:pStyle w:val="Heading2"/>
      </w:pPr>
      <w:r>
        <w:rPr>
          <w:rFonts w:ascii="Calibri" w:hAnsi="Calibri"/>
        </w:rPr>
        <w:t>4.5 Feature: past_falls (0-5 in 12 months)</w:t>
      </w:r>
    </w:p>
    <w:p>
      <w:r>
        <w:rPr>
          <w:rFonts w:ascii="Calibri" w:hAnsi="Calibri"/>
          <w:b w:val="0"/>
          <w:i/>
          <w:sz w:val="22"/>
        </w:rPr>
        <w:t>Category: INDIRECTLY REDUCIBLE (strongest predictor)</w:t>
      </w:r>
    </w:p>
    <w:p>
      <w:r>
        <w:rPr>
          <w:rFonts w:ascii="Calibri" w:hAnsi="Calibri"/>
          <w:b w:val="0"/>
          <w:i w:val="0"/>
          <w:sz w:val="22"/>
        </w:rPr>
        <w:t>Elevated direction: any fall (&gt;=1) doubles short-term risk; &gt;= 2 = recurrent faller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Trigger full STEADI multifactorial assessment (TUG, BP, meds, vision, feet, home).</w:t>
      </w:r>
    </w:p>
    <w:p>
      <w:pPr>
        <w:pStyle w:val="ListBullet"/>
        <w:ind w:left="680"/>
      </w:pPr>
      <w:r>
        <w:rPr>
          <w:sz w:val="22"/>
        </w:rPr>
        <w:t>One fall here is a 'wake-up call' — 60-70 is the highest-yield prevention window.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bundle + if &gt;= 2 falls → falls clinic / geriatrician referral (Evidence A).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complete the bundle within 1-2 weeks; hip-fracture prevention plan (DXA, vitamin D, home OT).</w:t>
      </w:r>
    </w:p>
    <w:p>
      <w:r>
        <w:rPr>
          <w:rFonts w:ascii="Calibri" w:hAnsi="Calibri"/>
          <w:b w:val="0"/>
          <w:i w:val="0"/>
          <w:sz w:val="22"/>
        </w:rPr>
        <w:t>Evidence: A (Gates 2008; Jehu 2021)</w:t>
      </w:r>
    </w:p>
    <w:p>
      <w:pPr>
        <w:pStyle w:val="Heading2"/>
      </w:pPr>
      <w:r>
        <w:rPr>
          <w:rFonts w:ascii="Calibri" w:hAnsi="Calibri"/>
        </w:rPr>
        <w:t>4.6 Feature: mobility_score (1-10)</w:t>
      </w:r>
    </w:p>
    <w:p>
      <w:r>
        <w:rPr>
          <w:rFonts w:ascii="Calibri" w:hAnsi="Calibri"/>
          <w:b w:val="0"/>
          <w:i/>
          <w:sz w:val="22"/>
        </w:rPr>
        <w:t>Category: DIRECTLY IMPROVABLE</w:t>
      </w:r>
    </w:p>
    <w:p>
      <w:r>
        <w:rPr>
          <w:rFonts w:ascii="Calibri" w:hAnsi="Calibri"/>
          <w:b w:val="0"/>
          <w:i w:val="0"/>
          <w:sz w:val="22"/>
        </w:rPr>
        <w:t>Elevated direction: score &lt;= 5 indicates reduced balance/mobility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Otago Exercise Programme or Tai Chi &gt;= 3 h/week (Evidence A).</w:t>
      </w:r>
    </w:p>
    <w:p>
      <w:pPr>
        <w:pStyle w:val="ListBullet"/>
        <w:ind w:left="680"/>
      </w:pPr>
      <w:r>
        <w:rPr>
          <w:sz w:val="22"/>
        </w:rPr>
        <w:t>Refer to physiotherapy for 12-week individualised programme if score &lt;= 5.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2-3 h/week supervised/home-based; keep balance challenge; add gait-aid assessment if needed.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Chair-based / supervised low-intensity training; focus on sit-to-stand, transfers (Evidence B).</w:t>
      </w:r>
    </w:p>
    <w:p>
      <w:r>
        <w:rPr>
          <w:rFonts w:ascii="Calibri" w:hAnsi="Calibri"/>
          <w:b w:val="0"/>
          <w:i w:val="0"/>
          <w:sz w:val="22"/>
        </w:rPr>
        <w:t>Evidence: A (Sherrington 2017; Gillespie 2012)</w:t>
      </w:r>
    </w:p>
    <w:p>
      <w:pPr>
        <w:pStyle w:val="Heading2"/>
      </w:pPr>
      <w:r>
        <w:rPr>
          <w:rFonts w:ascii="Calibri" w:hAnsi="Calibri"/>
        </w:rPr>
        <w:t>4.7 Feature: high_risk_medication (0/1)</w:t>
      </w:r>
    </w:p>
    <w:p>
      <w:r>
        <w:rPr>
          <w:rFonts w:ascii="Calibri" w:hAnsi="Calibri"/>
          <w:b w:val="0"/>
          <w:i/>
          <w:sz w:val="22"/>
        </w:rPr>
        <w:t>Category: DIRECTLY REDUCIBLE (deprescribing)</w:t>
      </w:r>
    </w:p>
    <w:p>
      <w:r>
        <w:rPr>
          <w:rFonts w:ascii="Calibri" w:hAnsi="Calibri"/>
          <w:b w:val="0"/>
          <w:i w:val="0"/>
          <w:sz w:val="22"/>
        </w:rPr>
        <w:t>Elevated direction: 1 = at least one FRID (BZD, Z-drug, antipsychotic, TCA/SSRI, opioid, gabapentinoid, anticholinergic)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Identify the FRID and deprescribe with prescriber; gradual psychotropic withdrawal cuts falls 66% (Gillespie 2012).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Beers 2023 / STOPP-START 2023 structured review; substitute safer alternatives.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simplify the whole regimen; avoid &gt;= 3 CNS-active drugs (Beers 2023 strong recommendation).</w:t>
      </w:r>
    </w:p>
    <w:p>
      <w:r>
        <w:rPr>
          <w:rFonts w:ascii="Calibri" w:hAnsi="Calibri"/>
          <w:b w:val="0"/>
          <w:i w:val="0"/>
          <w:sz w:val="22"/>
        </w:rPr>
        <w:t>Evidence: A (Beers 2023; STOPP/START 2023; Gillespie 2012)</w:t>
      </w:r>
    </w:p>
    <w:p>
      <w:pPr>
        <w:pStyle w:val="Heading2"/>
      </w:pPr>
      <w:r>
        <w:rPr>
          <w:rFonts w:ascii="Calibri" w:hAnsi="Calibri"/>
        </w:rPr>
        <w:t>4.8 Feature: polypharmacy_count (0-14)</w:t>
      </w:r>
    </w:p>
    <w:p>
      <w:r>
        <w:rPr>
          <w:rFonts w:ascii="Calibri" w:hAnsi="Calibri"/>
          <w:b w:val="0"/>
          <w:i/>
          <w:sz w:val="22"/>
        </w:rPr>
        <w:t>Category: DIRECTLY REDUCIBLE</w:t>
      </w:r>
    </w:p>
    <w:p>
      <w:r>
        <w:rPr>
          <w:rFonts w:ascii="Calibri" w:hAnsi="Calibri"/>
          <w:b w:val="0"/>
          <w:i w:val="0"/>
          <w:sz w:val="22"/>
        </w:rPr>
        <w:t>Elevated direction: &gt;= 5 = polypharmacy; each extra drug raises fall risk ~8-28%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Annual pharmacist review (Beers + STOPP/START); stop PIMs and duplicates.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Review every 6 months; calculate anticholinergic burden (ACB) and minimise.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Review every 3-6 months with pharmacist follow-up; prioritise high-burden drugs (Evidence A).</w:t>
      </w:r>
    </w:p>
    <w:p>
      <w:r>
        <w:rPr>
          <w:rFonts w:ascii="Calibri" w:hAnsi="Calibri"/>
          <w:b w:val="0"/>
          <w:i w:val="0"/>
          <w:sz w:val="22"/>
        </w:rPr>
        <w:t>Evidence: A (AAFP 2019; WHO 2019; Dhalwani 2017)</w:t>
      </w:r>
    </w:p>
    <w:p>
      <w:pPr>
        <w:pStyle w:val="Heading2"/>
      </w:pPr>
      <w:r>
        <w:rPr>
          <w:rFonts w:ascii="Calibri" w:hAnsi="Calibri"/>
        </w:rPr>
        <w:t>4.9 Feature: cognitive_impairment (0/1/2)</w:t>
      </w:r>
    </w:p>
    <w:p>
      <w:r>
        <w:rPr>
          <w:rFonts w:ascii="Calibri" w:hAnsi="Calibri"/>
          <w:b w:val="0"/>
          <w:i/>
          <w:sz w:val="22"/>
        </w:rPr>
        <w:t>Category: PARTIALLY IMPROVABLE</w:t>
      </w:r>
    </w:p>
    <w:p>
      <w:r>
        <w:rPr>
          <w:rFonts w:ascii="Calibri" w:hAnsi="Calibri"/>
          <w:b w:val="0"/>
          <w:i w:val="0"/>
          <w:sz w:val="22"/>
        </w:rPr>
        <w:t>Elevated direction: MCI (1) roughly doubles fall risk; severe (2) needs aggressive risk-factor control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MCI: combined exercise + cognitive training (Lipardo 2017); refer for MoCA/MMSE to confirm aetiology.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check reversible causes (B12, hypothyroid, sleep apnoea, depression); family education.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Severe: full multifactorial with caregiver; supervised day programme; remove all deliriogenic/anticholinergic drugs.</w:t>
      </w:r>
    </w:p>
    <w:p>
      <w:r>
        <w:rPr>
          <w:rFonts w:ascii="Calibri" w:hAnsi="Calibri"/>
          <w:b w:val="0"/>
          <w:i w:val="0"/>
          <w:sz w:val="22"/>
        </w:rPr>
        <w:t>Evidence: A (Lipardo 2017; Pichierri 2021)</w:t>
      </w:r>
    </w:p>
    <w:p>
      <w:pPr>
        <w:pStyle w:val="Heading2"/>
      </w:pPr>
      <w:r>
        <w:rPr>
          <w:rFonts w:ascii="Calibri" w:hAnsi="Calibri"/>
        </w:rPr>
        <w:t>4.10 Feature: orthostatic_hypotension (0/1)</w:t>
      </w:r>
    </w:p>
    <w:p>
      <w:r>
        <w:rPr>
          <w:rFonts w:ascii="Calibri" w:hAnsi="Calibri"/>
          <w:b w:val="0"/>
          <w:i/>
          <w:sz w:val="22"/>
        </w:rPr>
        <w:t>Category: DIRECTLY IMPROVABLE</w:t>
      </w:r>
    </w:p>
    <w:p>
      <w:r>
        <w:rPr>
          <w:rFonts w:ascii="Calibri" w:hAnsi="Calibri"/>
          <w:b w:val="0"/>
          <w:i w:val="0"/>
          <w:sz w:val="22"/>
        </w:rPr>
        <w:t>Elevated direction: 1 = supine-to-standing drop &gt;= 20/10 mmHg within 3 min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Measure lying/standing BP at 1 &amp; 3 min; review antihypertensives &amp; vasodilators; 3-step rise; hydrate 1.5-2 L.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compression stockings (20-30 mmHg daytime); head-of-bed 10-20 deg; small frequent meals.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daily BP log in care record; review diuretics carefully; caregiver awareness of syncope signs.</w:t>
      </w:r>
    </w:p>
    <w:p>
      <w:r>
        <w:rPr>
          <w:rFonts w:ascii="Calibri" w:hAnsi="Calibri"/>
          <w:b w:val="0"/>
          <w:i w:val="0"/>
          <w:sz w:val="22"/>
        </w:rPr>
        <w:t>Evidence: A (Freeman 2018; CDC STEADI 2019)</w:t>
      </w:r>
    </w:p>
    <w:p>
      <w:pPr>
        <w:pStyle w:val="Heading2"/>
      </w:pPr>
      <w:r>
        <w:rPr>
          <w:rFonts w:ascii="Calibri" w:hAnsi="Calibri"/>
        </w:rPr>
        <w:t>4.11 Feature: tug_seconds (8.0-31.9 s)</w:t>
      </w:r>
    </w:p>
    <w:p>
      <w:r>
        <w:rPr>
          <w:rFonts w:ascii="Calibri" w:hAnsi="Calibri"/>
          <w:b w:val="0"/>
          <w:i/>
          <w:sz w:val="22"/>
        </w:rPr>
        <w:t>Category: DIRECTLY IMPROVABLE</w:t>
      </w:r>
    </w:p>
    <w:p>
      <w:r>
        <w:rPr>
          <w:rFonts w:ascii="Calibri" w:hAnsi="Calibri"/>
          <w:b w:val="0"/>
          <w:i w:val="0"/>
          <w:sz w:val="22"/>
        </w:rPr>
        <w:t>Elevated direction: community threshold 13.5 s (Shumway-Cook 2000); BUT in 60-70 even &gt;9.5 s (1 SD over age-norm 8.1 s) is elevated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&gt;8.5-11.9 s: refer for balance/strength training NOW (sensitive threshold per Bohannon 2006).</w:t>
      </w:r>
    </w:p>
    <w:p>
      <w:pPr>
        <w:pStyle w:val="ListBullet"/>
        <w:ind w:left="680"/>
      </w:pPr>
      <w:r>
        <w:rPr>
          <w:sz w:val="22"/>
        </w:rPr>
        <w:t>&gt;= 13.5 s: high risk → physiotherapy + falls-prevention programme.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&gt;= 12 s: full multifactorial assessment (TUG alone cannot rule out falls — Barry 2014).</w:t>
      </w:r>
    </w:p>
    <w:p>
      <w:pPr>
        <w:pStyle w:val="ListBullet"/>
        <w:ind w:left="680"/>
      </w:pPr>
      <w:r>
        <w:rPr>
          <w:sz w:val="22"/>
        </w:rPr>
        <w:t>&gt;= 13.5 s: falls-prevention programme; gait-aid assessment.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&gt;= 13.5 s: high risk; &gt;= 20 s: dependent transfers → OT home/ADL assessment (Evidence B).</w:t>
      </w:r>
    </w:p>
    <w:p>
      <w:r>
        <w:rPr>
          <w:rFonts w:ascii="Calibri" w:hAnsi="Calibri"/>
          <w:b w:val="0"/>
          <w:i w:val="0"/>
          <w:sz w:val="22"/>
        </w:rPr>
        <w:t>Evidence: A (Shumway-Cook 2000; Barry 2014; Bohannon 2006)</w:t>
      </w:r>
    </w:p>
    <w:p>
      <w:pPr>
        <w:pStyle w:val="Heading2"/>
      </w:pPr>
      <w:r>
        <w:rPr>
          <w:rFonts w:ascii="Calibri" w:hAnsi="Calibri"/>
        </w:rPr>
        <w:t>4.12 Feature: days_since_last_fall (0-365, empty if none)</w:t>
      </w:r>
    </w:p>
    <w:p>
      <w:r>
        <w:rPr>
          <w:rFonts w:ascii="Calibri" w:hAnsi="Calibri"/>
          <w:b w:val="0"/>
          <w:i/>
          <w:sz w:val="22"/>
        </w:rPr>
        <w:t>Category: ROUTING FLAG (recency)</w:t>
      </w:r>
    </w:p>
    <w:p>
      <w:r>
        <w:rPr>
          <w:rFonts w:ascii="Calibri" w:hAnsi="Calibri"/>
          <w:b w:val="0"/>
          <w:i w:val="0"/>
          <w:sz w:val="22"/>
        </w:rPr>
        <w:t>Elevated direction: small value = recent fall = immediate post-fall high-risk window (NICE CG161: assess ASAP)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&lt; 30 days: same-day or within-week STEADI multifactorial assessment.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scheduled 2-week follow-up to re-assess.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consider geriatric/falls-clinic referral; fracture-prevention plan.</w:t>
      </w:r>
    </w:p>
    <w:p>
      <w:r>
        <w:rPr>
          <w:rFonts w:ascii="Calibri" w:hAnsi="Calibri"/>
          <w:b w:val="0"/>
          <w:i w:val="0"/>
          <w:sz w:val="22"/>
        </w:rPr>
        <w:t>Evidence: A (NICE CG161 2013; CDC STEADI 2019)</w:t>
      </w:r>
    </w:p>
    <w:p>
      <w:pPr>
        <w:pStyle w:val="Heading2"/>
      </w:pPr>
      <w:r>
        <w:rPr>
          <w:rFonts w:ascii="Calibri" w:hAnsi="Calibri"/>
        </w:rPr>
        <w:t>4.13 Feature: syncopal_fall (0/1)</w:t>
      </w:r>
    </w:p>
    <w:p>
      <w:r>
        <w:rPr>
          <w:rFonts w:ascii="Calibri" w:hAnsi="Calibri"/>
          <w:b w:val="0"/>
          <w:i/>
          <w:sz w:val="22"/>
        </w:rPr>
        <w:t>Category: ROUTING FLAG (medical workup, NOT balance training)</w:t>
      </w:r>
    </w:p>
    <w:p>
      <w:r>
        <w:rPr>
          <w:rFonts w:ascii="Calibri" w:hAnsi="Calibri"/>
          <w:b w:val="0"/>
          <w:i w:val="0"/>
          <w:sz w:val="22"/>
        </w:rPr>
        <w:t>Elevated direction: 1 = fall with loss of consciousness; syncope implicated in 20-30% of ED falls (cardiovascular causes)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Route to cardiology/syncope clinic; orthostatic BP; 12-lead ECG; review antihypertensives/vasodilators.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Holter monitor if arrhythmia suspected.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expedite workup (syncope risk rises with age); avoid prolonged waiting.</w:t>
      </w:r>
    </w:p>
    <w:p>
      <w:r>
        <w:rPr>
          <w:rFonts w:ascii="Calibri" w:hAnsi="Calibri"/>
          <w:b w:val="0"/>
          <w:i w:val="0"/>
          <w:sz w:val="22"/>
        </w:rPr>
        <w:t>Evidence: B (Pasqualetti 2017; Bloem 2007)</w:t>
      </w:r>
    </w:p>
    <w:p>
      <w:pPr>
        <w:pStyle w:val="Heading2"/>
      </w:pPr>
      <w:r>
        <w:rPr>
          <w:rFonts w:ascii="Calibri" w:hAnsi="Calibri"/>
        </w:rPr>
        <w:t>4.14 Feature: fall_cluster_30d (0/1)</w:t>
      </w:r>
    </w:p>
    <w:p>
      <w:r>
        <w:rPr>
          <w:rFonts w:ascii="Calibri" w:hAnsi="Calibri"/>
          <w:b w:val="0"/>
          <w:i/>
          <w:sz w:val="22"/>
        </w:rPr>
        <w:t>Category: ROUTING FLAG (acute-trigger investigation)</w:t>
      </w:r>
    </w:p>
    <w:p>
      <w:r>
        <w:rPr>
          <w:rFonts w:ascii="Calibri" w:hAnsi="Calibri"/>
          <w:b w:val="0"/>
          <w:i w:val="0"/>
          <w:sz w:val="22"/>
        </w:rPr>
        <w:t>Elevated direction: 1 = &gt;= 2 falls within 30 days → almost always an acute reversible cause</w:t>
      </w:r>
    </w:p>
    <w:p>
      <w:r>
        <w:rPr>
          <w:rFonts w:ascii="Calibri" w:hAnsi="Calibri"/>
          <w:b w:val="0"/>
          <w:i w:val="0"/>
          <w:sz w:val="22"/>
        </w:rPr>
        <w:t>Reduction actions by age band:</w:t>
      </w:r>
    </w:p>
    <w:p>
      <w:r>
        <w:rPr>
          <w:rFonts w:ascii="Calibri" w:hAnsi="Calibri"/>
          <w:b/>
          <w:i w:val="0"/>
          <w:sz w:val="22"/>
        </w:rPr>
        <w:t>[60-70]</w:t>
      </w:r>
    </w:p>
    <w:p>
      <w:pPr>
        <w:pStyle w:val="ListBullet"/>
        <w:ind w:left="680"/>
      </w:pPr>
      <w:r>
        <w:rPr>
          <w:sz w:val="22"/>
        </w:rPr>
        <w:t>Investigate: newly started medication, acute infection, hypoglycaemia, acute vertigo (BPPV → Epley).</w:t>
      </w:r>
    </w:p>
    <w:p>
      <w:r>
        <w:rPr>
          <w:rFonts w:ascii="Calibri" w:hAnsi="Calibri"/>
          <w:b/>
          <w:i w:val="0"/>
          <w:sz w:val="22"/>
        </w:rPr>
        <w:t>[71-80]</w:t>
      </w:r>
    </w:p>
    <w:p>
      <w:pPr>
        <w:pStyle w:val="ListBullet"/>
        <w:ind w:left="680"/>
      </w:pPr>
      <w:r>
        <w:rPr>
          <w:sz w:val="22"/>
        </w:rPr>
        <w:t>Same + review entire medication list with prescriber; consider urgent review if no trigger in 48 h.</w:t>
      </w:r>
    </w:p>
    <w:p>
      <w:r>
        <w:rPr>
          <w:rFonts w:ascii="Calibri" w:hAnsi="Calibri"/>
          <w:b/>
          <w:i w:val="0"/>
          <w:sz w:val="22"/>
        </w:rPr>
        <w:t>[81-100]</w:t>
      </w:r>
    </w:p>
    <w:p>
      <w:pPr>
        <w:pStyle w:val="ListBullet"/>
        <w:ind w:left="680"/>
      </w:pPr>
      <w:r>
        <w:rPr>
          <w:sz w:val="22"/>
        </w:rPr>
        <w:t>Same + low threshold for same-day ED review; falls-clinic referral.</w:t>
      </w:r>
    </w:p>
    <w:p>
      <w:r>
        <w:rPr>
          <w:rFonts w:ascii="Calibri" w:hAnsi="Calibri"/>
          <w:b w:val="0"/>
          <w:i w:val="0"/>
          <w:sz w:val="22"/>
        </w:rPr>
        <w:t>Evidence: B (Pasqualetti 2017; Jehu 2021)</w:t>
      </w:r>
    </w:p>
    <w:p>
      <w:pPr>
        <w:pStyle w:val="Heading1"/>
      </w:pPr>
      <w:r>
        <w:rPr>
          <w:rFonts w:ascii="Calibri" w:hAnsi="Calibri"/>
        </w:rPr>
        <w:t>5. Summary Table: Feature x Age Band -&gt; Primary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Feature</w:t>
            </w:r>
          </w:p>
        </w:tc>
        <w:tc>
          <w:tcPr>
            <w:tcW w:type="dxa" w:w="1949"/>
          </w:tcPr>
          <w:p>
            <w:r>
              <w:t>60-70 primary action</w:t>
            </w:r>
          </w:p>
        </w:tc>
        <w:tc>
          <w:tcPr>
            <w:tcW w:type="dxa" w:w="1949"/>
          </w:tcPr>
          <w:p>
            <w:r>
              <w:t>71-80 primary action</w:t>
            </w:r>
          </w:p>
        </w:tc>
        <w:tc>
          <w:tcPr>
            <w:tcW w:type="dxa" w:w="1949"/>
          </w:tcPr>
          <w:p>
            <w:r>
              <w:t>81-100 primary action</w:t>
            </w:r>
          </w:p>
        </w:tc>
        <w:tc>
          <w:tcPr>
            <w:tcW w:type="dxa" w:w="1949"/>
          </w:tcPr>
          <w:p>
            <w:r>
              <w:t>Evidence</w:t>
            </w:r>
          </w:p>
        </w:tc>
      </w:tr>
      <w:tr>
        <w:tc>
          <w:tcPr>
            <w:tcW w:type="dxa" w:w="1949"/>
          </w:tcPr>
          <w:p>
            <w:r>
              <w:t>age</w:t>
            </w:r>
          </w:p>
        </w:tc>
        <w:tc>
          <w:tcPr>
            <w:tcW w:type="dxa" w:w="1949"/>
          </w:tcPr>
          <w:p>
            <w:r>
              <w:t>Exercise 3+ h/wk; annual screen</w:t>
            </w:r>
          </w:p>
        </w:tc>
        <w:tc>
          <w:tcPr>
            <w:tcW w:type="dxa" w:w="1949"/>
          </w:tcPr>
          <w:p>
            <w:r>
              <w:t>Sustain exercise; manage new multi-morbidity</w:t>
            </w:r>
          </w:p>
        </w:tc>
        <w:tc>
          <w:tcPr>
            <w:tcW w:type="dxa" w:w="1949"/>
          </w:tcPr>
          <w:p>
            <w:r>
              <w:t>Low-intensity supervised; aggressive deprescribing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sex</w:t>
            </w:r>
          </w:p>
        </w:tc>
        <w:tc>
          <w:tcPr>
            <w:tcW w:type="dxa" w:w="1949"/>
          </w:tcPr>
          <w:p>
            <w:r>
              <w:t>Female: DXA+urgency; Male: alcohol+OH</w:t>
            </w:r>
          </w:p>
        </w:tc>
        <w:tc>
          <w:tcPr>
            <w:tcW w:type="dxa" w:w="1949"/>
          </w:tcPr>
          <w:p>
            <w:r>
              <w:t>Same + annual re-check</w:t>
            </w:r>
          </w:p>
        </w:tc>
        <w:tc>
          <w:tcPr>
            <w:tcW w:type="dxa" w:w="1949"/>
          </w:tcPr>
          <w:p>
            <w:r>
              <w:t>+ Frailty screen; caregiver plan</w:t>
            </w:r>
          </w:p>
        </w:tc>
        <w:tc>
          <w:tcPr>
            <w:tcW w:type="dxa" w:w="1949"/>
          </w:tcPr>
          <w:p>
            <w:r>
              <w:t>B</w:t>
            </w:r>
          </w:p>
        </w:tc>
      </w:tr>
      <w:tr>
        <w:tc>
          <w:tcPr>
            <w:tcW w:type="dxa" w:w="1949"/>
          </w:tcPr>
          <w:p>
            <w:r>
              <w:t>night_bed_exits</w:t>
            </w:r>
          </w:p>
        </w:tc>
        <w:tc>
          <w:tcPr>
            <w:tcW w:type="dxa" w:w="1949"/>
          </w:tcPr>
          <w:p>
            <w:r>
              <w:t>Limit fluids; commode; night light</w:t>
            </w:r>
          </w:p>
        </w:tc>
        <w:tc>
          <w:tcPr>
            <w:tcW w:type="dxa" w:w="1949"/>
          </w:tcPr>
          <w:p>
            <w:r>
              <w:t>+ Nocturia meds; urology/PT</w:t>
            </w:r>
          </w:p>
        </w:tc>
        <w:tc>
          <w:tcPr>
            <w:tcW w:type="dxa" w:w="1949"/>
          </w:tcPr>
          <w:p>
            <w:r>
              <w:t>+ Night supervision; sensor bed</w:t>
            </w:r>
          </w:p>
        </w:tc>
        <w:tc>
          <w:tcPr>
            <w:tcW w:type="dxa" w:w="1949"/>
          </w:tcPr>
          <w:p>
            <w:r>
              <w:t>B</w:t>
            </w:r>
          </w:p>
        </w:tc>
      </w:tr>
      <w:tr>
        <w:tc>
          <w:tcPr>
            <w:tcW w:type="dxa" w:w="1949"/>
          </w:tcPr>
          <w:p>
            <w:r>
              <w:t>night_activity_duration_min</w:t>
            </w:r>
          </w:p>
        </w:tc>
        <w:tc>
          <w:tcPr>
            <w:tcW w:type="dxa" w:w="1949"/>
          </w:tcPr>
          <w:p>
            <w:r>
              <w:t>STOP-BANG; CBT-I</w:t>
            </w:r>
          </w:p>
        </w:tc>
        <w:tc>
          <w:tcPr>
            <w:tcW w:type="dxa" w:w="1949"/>
          </w:tcPr>
          <w:p>
            <w:r>
              <w:t>+ Deprescribe hypnotics</w:t>
            </w:r>
          </w:p>
        </w:tc>
        <w:tc>
          <w:tcPr>
            <w:tcW w:type="dxa" w:w="1949"/>
          </w:tcPr>
          <w:p>
            <w:r>
              <w:t>+ Wandering management</w:t>
            </w:r>
          </w:p>
        </w:tc>
        <w:tc>
          <w:tcPr>
            <w:tcW w:type="dxa" w:w="1949"/>
          </w:tcPr>
          <w:p>
            <w:r>
              <w:t>B</w:t>
            </w:r>
          </w:p>
        </w:tc>
      </w:tr>
      <w:tr>
        <w:tc>
          <w:tcPr>
            <w:tcW w:type="dxa" w:w="1949"/>
          </w:tcPr>
          <w:p>
            <w:r>
              <w:t>past_falls</w:t>
            </w:r>
          </w:p>
        </w:tc>
        <w:tc>
          <w:tcPr>
            <w:tcW w:type="dxa" w:w="1949"/>
          </w:tcPr>
          <w:p>
            <w:r>
              <w:t>Full STEADI bundle</w:t>
            </w:r>
          </w:p>
        </w:tc>
        <w:tc>
          <w:tcPr>
            <w:tcW w:type="dxa" w:w="1949"/>
          </w:tcPr>
          <w:p>
            <w:r>
              <w:t>+ Falls clinic if &gt;=2</w:t>
            </w:r>
          </w:p>
        </w:tc>
        <w:tc>
          <w:tcPr>
            <w:tcW w:type="dxa" w:w="1949"/>
          </w:tcPr>
          <w:p>
            <w:r>
              <w:t>+ Complete in 1-2 wk; fracture plan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mobility_score</w:t>
            </w:r>
          </w:p>
        </w:tc>
        <w:tc>
          <w:tcPr>
            <w:tcW w:type="dxa" w:w="1949"/>
          </w:tcPr>
          <w:p>
            <w:r>
              <w:t>Otago/Tai Chi 3+ h/wk; PT</w:t>
            </w:r>
          </w:p>
        </w:tc>
        <w:tc>
          <w:tcPr>
            <w:tcW w:type="dxa" w:w="1949"/>
          </w:tcPr>
          <w:p>
            <w:r>
              <w:t>2-3 h/wk supervised; gait aid</w:t>
            </w:r>
          </w:p>
        </w:tc>
        <w:tc>
          <w:tcPr>
            <w:tcW w:type="dxa" w:w="1949"/>
          </w:tcPr>
          <w:p>
            <w:r>
              <w:t>Chair-based; sit-to-stand focus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high_risk_medication</w:t>
            </w:r>
          </w:p>
        </w:tc>
        <w:tc>
          <w:tcPr>
            <w:tcW w:type="dxa" w:w="1949"/>
          </w:tcPr>
          <w:p>
            <w:r>
              <w:t>Deprescribe FRID</w:t>
            </w:r>
          </w:p>
        </w:tc>
        <w:tc>
          <w:tcPr>
            <w:tcW w:type="dxa" w:w="1949"/>
          </w:tcPr>
          <w:p>
            <w:r>
              <w:t>+ Beers/STOPP structured review</w:t>
            </w:r>
          </w:p>
        </w:tc>
        <w:tc>
          <w:tcPr>
            <w:tcW w:type="dxa" w:w="1949"/>
          </w:tcPr>
          <w:p>
            <w:r>
              <w:t>+ Simplify regimen; avoid 3 CNS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polypharmacy</w:t>
            </w:r>
          </w:p>
        </w:tc>
        <w:tc>
          <w:tcPr>
            <w:tcW w:type="dxa" w:w="1949"/>
          </w:tcPr>
          <w:p>
            <w:r>
              <w:t>Annual pharmacist review</w:t>
            </w:r>
          </w:p>
        </w:tc>
        <w:tc>
          <w:tcPr>
            <w:tcW w:type="dxa" w:w="1949"/>
          </w:tcPr>
          <w:p>
            <w:r>
              <w:t>6-monthly; ACB minimise</w:t>
            </w:r>
          </w:p>
        </w:tc>
        <w:tc>
          <w:tcPr>
            <w:tcW w:type="dxa" w:w="1949"/>
          </w:tcPr>
          <w:p>
            <w:r>
              <w:t>3-6-monthly + pharmacist follow-up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cognitive_impairment</w:t>
            </w:r>
          </w:p>
        </w:tc>
        <w:tc>
          <w:tcPr>
            <w:tcW w:type="dxa" w:w="1949"/>
          </w:tcPr>
          <w:p>
            <w:r>
              <w:t>Exercise+cognitive; MoCA</w:t>
            </w:r>
          </w:p>
        </w:tc>
        <w:tc>
          <w:tcPr>
            <w:tcW w:type="dxa" w:w="1949"/>
          </w:tcPr>
          <w:p>
            <w:r>
              <w:t>+ Reversible-cause workup</w:t>
            </w:r>
          </w:p>
        </w:tc>
        <w:tc>
          <w:tcPr>
            <w:tcW w:type="dxa" w:w="1949"/>
          </w:tcPr>
          <w:p>
            <w:r>
              <w:t>Severe: supervised; remove deliriogenics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orthostatic_hypotension</w:t>
            </w:r>
          </w:p>
        </w:tc>
        <w:tc>
          <w:tcPr>
            <w:tcW w:type="dxa" w:w="1949"/>
          </w:tcPr>
          <w:p>
            <w:r>
              <w:t>BP check; 3-step rise; hydrate</w:t>
            </w:r>
          </w:p>
        </w:tc>
        <w:tc>
          <w:tcPr>
            <w:tcW w:type="dxa" w:w="1949"/>
          </w:tcPr>
          <w:p>
            <w:r>
              <w:t>+ Stockings; head-of-bed</w:t>
            </w:r>
          </w:p>
        </w:tc>
        <w:tc>
          <w:tcPr>
            <w:tcW w:type="dxa" w:w="1949"/>
          </w:tcPr>
          <w:p>
            <w:r>
              <w:t>+ Daily BP log; syncope awareness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tug_seconds</w:t>
            </w:r>
          </w:p>
        </w:tc>
        <w:tc>
          <w:tcPr>
            <w:tcW w:type="dxa" w:w="1949"/>
          </w:tcPr>
          <w:p>
            <w:r>
              <w:t>Intervene &gt;8.5-11.9 s (sensitive)</w:t>
            </w:r>
          </w:p>
        </w:tc>
        <w:tc>
          <w:tcPr>
            <w:tcW w:type="dxa" w:w="1949"/>
          </w:tcPr>
          <w:p>
            <w:r>
              <w:t>&gt;= 12 s: full assessment</w:t>
            </w:r>
          </w:p>
        </w:tc>
        <w:tc>
          <w:tcPr>
            <w:tcW w:type="dxa" w:w="1949"/>
          </w:tcPr>
          <w:p>
            <w:r>
              <w:t>&gt;= 13.5 s: high risk; &gt;=20 s: OT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days_since_last_fall</w:t>
            </w:r>
          </w:p>
        </w:tc>
        <w:tc>
          <w:tcPr>
            <w:tcW w:type="dxa" w:w="1949"/>
          </w:tcPr>
          <w:p>
            <w:r>
              <w:t>&lt;30 d: assess within week</w:t>
            </w:r>
          </w:p>
        </w:tc>
        <w:tc>
          <w:tcPr>
            <w:tcW w:type="dxa" w:w="1949"/>
          </w:tcPr>
          <w:p>
            <w:r>
              <w:t>+ 2-wk follow-up</w:t>
            </w:r>
          </w:p>
        </w:tc>
        <w:tc>
          <w:tcPr>
            <w:tcW w:type="dxa" w:w="1949"/>
          </w:tcPr>
          <w:p>
            <w:r>
              <w:t>+ Falls clinic; fracture plan</w:t>
            </w:r>
          </w:p>
        </w:tc>
        <w:tc>
          <w:tcPr>
            <w:tcW w:type="dxa" w:w="1949"/>
          </w:tcPr>
          <w:p>
            <w:r>
              <w:t>A</w:t>
            </w:r>
          </w:p>
        </w:tc>
      </w:tr>
      <w:tr>
        <w:tc>
          <w:tcPr>
            <w:tcW w:type="dxa" w:w="1949"/>
          </w:tcPr>
          <w:p>
            <w:r>
              <w:t>syncopal_fall</w:t>
            </w:r>
          </w:p>
        </w:tc>
        <w:tc>
          <w:tcPr>
            <w:tcW w:type="dxa" w:w="1949"/>
          </w:tcPr>
          <w:p>
            <w:r>
              <w:t>Cardiology/syncope clinic</w:t>
            </w:r>
          </w:p>
        </w:tc>
        <w:tc>
          <w:tcPr>
            <w:tcW w:type="dxa" w:w="1949"/>
          </w:tcPr>
          <w:p>
            <w:r>
              <w:t>+ Holter if suspected arrhythmia</w:t>
            </w:r>
          </w:p>
        </w:tc>
        <w:tc>
          <w:tcPr>
            <w:tcW w:type="dxa" w:w="1949"/>
          </w:tcPr>
          <w:p>
            <w:r>
              <w:t>+ Expedite workup</w:t>
            </w:r>
          </w:p>
        </w:tc>
        <w:tc>
          <w:tcPr>
            <w:tcW w:type="dxa" w:w="1949"/>
          </w:tcPr>
          <w:p>
            <w:r>
              <w:t>B</w:t>
            </w:r>
          </w:p>
        </w:tc>
      </w:tr>
      <w:tr>
        <w:tc>
          <w:tcPr>
            <w:tcW w:type="dxa" w:w="1949"/>
          </w:tcPr>
          <w:p>
            <w:r>
              <w:t>fall_cluster_30d</w:t>
            </w:r>
          </w:p>
        </w:tc>
        <w:tc>
          <w:tcPr>
            <w:tcW w:type="dxa" w:w="1949"/>
          </w:tcPr>
          <w:p>
            <w:r>
              <w:t>Acute-trigger workup</w:t>
            </w:r>
          </w:p>
        </w:tc>
        <w:tc>
          <w:tcPr>
            <w:tcW w:type="dxa" w:w="1949"/>
          </w:tcPr>
          <w:p>
            <w:r>
              <w:t>+ Full med review; urgent if no trigger</w:t>
            </w:r>
          </w:p>
        </w:tc>
        <w:tc>
          <w:tcPr>
            <w:tcW w:type="dxa" w:w="1949"/>
          </w:tcPr>
          <w:p>
            <w:r>
              <w:t>+ Low ED threshold; falls clinic</w:t>
            </w:r>
          </w:p>
        </w:tc>
        <w:tc>
          <w:tcPr>
            <w:tcW w:type="dxa" w:w="1949"/>
          </w:tcPr>
          <w:p>
            <w:r>
              <w:t>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References</w:t>
      </w:r>
    </w:p>
    <w:p>
      <w:pPr>
        <w:ind w:hanging="454" w:left="454"/>
      </w:pPr>
      <w:r>
        <w:rPr>
          <w:b/>
          <w:sz w:val="21"/>
        </w:rPr>
        <w:t xml:space="preserve">1. </w:t>
      </w:r>
      <w:r>
        <w:rPr>
          <w:sz w:val="21"/>
        </w:rPr>
        <w:t>American Geriatrics Society, British Geriatrics Society. (2010). Clinical Practice Guideline: Prevention of Falls in Older Persons. Journal of the American Geriatrics Society, 59(1), 148-157.</w:t>
      </w:r>
    </w:p>
    <w:p>
      <w:pPr>
        <w:ind w:hanging="454" w:left="454"/>
      </w:pPr>
      <w:r>
        <w:rPr>
          <w:b/>
          <w:sz w:val="21"/>
        </w:rPr>
        <w:t xml:space="preserve">2. </w:t>
      </w:r>
      <w:r>
        <w:rPr>
          <w:sz w:val="21"/>
        </w:rPr>
        <w:t>American Geriatrics Society Beers Criteria Update Expert Panel. (2023). AGS Beers Criteria 2023. Journal of the American Geriatrics Society, 71(7), 2052-2081.</w:t>
      </w:r>
    </w:p>
    <w:p>
      <w:pPr>
        <w:ind w:hanging="454" w:left="454"/>
      </w:pPr>
      <w:r>
        <w:rPr>
          <w:b/>
          <w:sz w:val="21"/>
        </w:rPr>
        <w:t xml:space="preserve">3. </w:t>
      </w:r>
      <w:r>
        <w:rPr>
          <w:sz w:val="21"/>
        </w:rPr>
        <w:t>Barry, E., Galvin, R., Keogh, C., Horgan, F., &amp; Fahey, T. (2014). Is the Timed Up and Go test a useful predictor of risk of falls in community dwelling older adults: a systematic review and meta-analysis. BMC Geriatrics, 14, 14.</w:t>
      </w:r>
    </w:p>
    <w:p>
      <w:pPr>
        <w:ind w:hanging="454" w:left="454"/>
      </w:pPr>
      <w:r>
        <w:rPr>
          <w:b/>
          <w:sz w:val="21"/>
        </w:rPr>
        <w:t xml:space="preserve">4. </w:t>
      </w:r>
      <w:r>
        <w:rPr>
          <w:sz w:val="21"/>
        </w:rPr>
        <w:t>Bloem, B. R., Overeem, S., van Dijk, J. G. (2007). Syncopal falls, drop attacks and their mimics. In: Bronstein AM, Brandt T, Woollacott MH, eds. Clinical Disorders of Balance, Posture and Gait (2nd ed.). London: Arnold.</w:t>
      </w:r>
    </w:p>
    <w:p>
      <w:pPr>
        <w:ind w:hanging="454" w:left="454"/>
      </w:pPr>
      <w:r>
        <w:rPr>
          <w:b/>
          <w:sz w:val="21"/>
        </w:rPr>
        <w:t xml:space="preserve">5. </w:t>
      </w:r>
      <w:r>
        <w:rPr>
          <w:sz w:val="21"/>
        </w:rPr>
        <w:t>Bohannon, R. W. (2006). Reference values for the Timed Up and Go Test: a descriptive meta-analysis. Journal of Geriatric Physical Therapy, 29(2), 64-68.</w:t>
      </w:r>
    </w:p>
    <w:p>
      <w:pPr>
        <w:ind w:hanging="454" w:left="454"/>
      </w:pPr>
      <w:r>
        <w:rPr>
          <w:b/>
          <w:sz w:val="21"/>
        </w:rPr>
        <w:t xml:space="preserve">6. </w:t>
      </w:r>
      <w:r>
        <w:rPr>
          <w:sz w:val="21"/>
        </w:rPr>
        <w:t>Centers for Disease Control and Prevention. (2019). Algorithm for Fall Risk Screening, Assessment, and Intervention. Atlanta (GA): National Center for Injury Prevention and Control.</w:t>
      </w:r>
    </w:p>
    <w:p>
      <w:pPr>
        <w:ind w:hanging="454" w:left="454"/>
      </w:pPr>
      <w:r>
        <w:rPr>
          <w:b/>
          <w:sz w:val="21"/>
        </w:rPr>
        <w:t xml:space="preserve">7. </w:t>
      </w:r>
      <w:r>
        <w:rPr>
          <w:sz w:val="21"/>
        </w:rPr>
        <w:t>Clemson, L., Stark, S., Pighills, A. C., Fairhall, N. J., Lamb, S. E., Ali, J., &amp; Sherrington, C. (2023). Environmental interventions for preventing falls in older people living in the community. Cochrane Database of Systematic Reviews, 1, CD013258.</w:t>
      </w:r>
    </w:p>
    <w:p>
      <w:pPr>
        <w:ind w:hanging="454" w:left="454"/>
      </w:pPr>
      <w:r>
        <w:rPr>
          <w:b/>
          <w:sz w:val="21"/>
        </w:rPr>
        <w:t xml:space="preserve">8. </w:t>
      </w:r>
      <w:r>
        <w:rPr>
          <w:sz w:val="21"/>
        </w:rPr>
        <w:t>Cockayne, S., et al. (2014). Multifaceted podiatry intervention for fall prevention. BMJ, 348, g2919.</w:t>
      </w:r>
    </w:p>
    <w:p>
      <w:pPr>
        <w:ind w:hanging="454" w:left="454"/>
      </w:pPr>
      <w:r>
        <w:rPr>
          <w:b/>
          <w:sz w:val="21"/>
        </w:rPr>
        <w:t xml:space="preserve">9. </w:t>
      </w:r>
      <w:r>
        <w:rPr>
          <w:sz w:val="21"/>
        </w:rPr>
        <w:t>Dhalwani, N. N., et al. (2017). Association between polypharmacy and falls in older adults: a longitudinal study from England. BMJ Open, 7(10), e016358.</w:t>
      </w:r>
    </w:p>
    <w:p>
      <w:pPr>
        <w:ind w:hanging="454" w:left="454"/>
      </w:pPr>
      <w:r>
        <w:rPr>
          <w:b/>
          <w:sz w:val="21"/>
        </w:rPr>
        <w:t xml:space="preserve">10. </w:t>
      </w:r>
      <w:r>
        <w:rPr>
          <w:sz w:val="21"/>
        </w:rPr>
        <w:t>Dynseo. (2026). Nighttime falls in nursing homes: why they happen and how to prevent them. Dynseo White Paper.</w:t>
      </w:r>
    </w:p>
    <w:p>
      <w:pPr>
        <w:ind w:hanging="454" w:left="454"/>
      </w:pPr>
      <w:r>
        <w:rPr>
          <w:b/>
          <w:sz w:val="21"/>
        </w:rPr>
        <w:t xml:space="preserve">11. </w:t>
      </w:r>
      <w:r>
        <w:rPr>
          <w:sz w:val="21"/>
        </w:rPr>
        <w:t>Freeman, R., Wieling, W., Axelrod, F. B., et al. (2011). Consensus statement on the definition of orthostatic hypotension, neurally mediated syncope and the postural tachycardia syndrome. Clinical Autonomic Research, 21(2), 69-72.</w:t>
      </w:r>
    </w:p>
    <w:p>
      <w:pPr>
        <w:ind w:hanging="454" w:left="454"/>
      </w:pPr>
      <w:r>
        <w:rPr>
          <w:b/>
          <w:sz w:val="21"/>
        </w:rPr>
        <w:t xml:space="preserve">12. </w:t>
      </w:r>
      <w:r>
        <w:rPr>
          <w:sz w:val="21"/>
        </w:rPr>
        <w:t>Gates, S., Smith, L. A., Fisher, J. D., &amp; Lamb, S. E. (2008). Systematic review of accuracy of screening instruments for identifying fallers in community-dwelling elderly. Journal of Clinical Epidemiology, 61(6), 544-556.</w:t>
      </w:r>
    </w:p>
    <w:p>
      <w:pPr>
        <w:ind w:hanging="454" w:left="454"/>
      </w:pPr>
      <w:r>
        <w:rPr>
          <w:b/>
          <w:sz w:val="21"/>
        </w:rPr>
        <w:t xml:space="preserve">13. </w:t>
      </w:r>
      <w:r>
        <w:rPr>
          <w:sz w:val="21"/>
        </w:rPr>
        <w:t>Gillespie, L. D., Robertson, M. C., Gillespie, W. J., et al. (2012). Interventions for preventing falls in older people living in the community. Cochrane Database of Systematic Reviews, 9, CD007146.</w:t>
      </w:r>
    </w:p>
    <w:p>
      <w:pPr>
        <w:ind w:hanging="454" w:left="454"/>
      </w:pPr>
      <w:r>
        <w:rPr>
          <w:b/>
          <w:sz w:val="21"/>
        </w:rPr>
        <w:t xml:space="preserve">14. </w:t>
      </w:r>
      <w:r>
        <w:rPr>
          <w:sz w:val="21"/>
        </w:rPr>
        <w:t>Jehu, D. A., Davis, J. C., Falck, R. S., et al. (2021). Risk factors for recurrent falls in older adults: a systematic review with meta-analysis. Maturitas, 144, 23-28.</w:t>
      </w:r>
    </w:p>
    <w:p>
      <w:pPr>
        <w:ind w:hanging="454" w:left="454"/>
      </w:pPr>
      <w:r>
        <w:rPr>
          <w:b/>
          <w:sz w:val="21"/>
        </w:rPr>
        <w:t xml:space="preserve">15. </w:t>
      </w:r>
      <w:r>
        <w:rPr>
          <w:sz w:val="21"/>
        </w:rPr>
        <w:t>Kim, S. Y., et al. (2017). Nocturia is associated with slipping and falling. PLoS ONE, 12(1), e0169690.</w:t>
      </w:r>
    </w:p>
    <w:p>
      <w:pPr>
        <w:ind w:hanging="454" w:left="454"/>
      </w:pPr>
      <w:r>
        <w:rPr>
          <w:b/>
          <w:sz w:val="21"/>
        </w:rPr>
        <w:t xml:space="preserve">16. </w:t>
      </w:r>
      <w:r>
        <w:rPr>
          <w:sz w:val="21"/>
        </w:rPr>
        <w:t>Lipardo, D. S., Aseron, A. M. C., Kwan, M. M., &amp; Tsang, W. W. (2017). Effect of exercise and cognitive training on falls and fall-related factors in older adults with mild cognitive impairment: a systematic review. Archives of Physical Medicine and Rehabilitation, 98(10), 2079-2096.</w:t>
      </w:r>
    </w:p>
    <w:p>
      <w:pPr>
        <w:ind w:hanging="454" w:left="454"/>
      </w:pPr>
      <w:r>
        <w:rPr>
          <w:b/>
          <w:sz w:val="21"/>
        </w:rPr>
        <w:t xml:space="preserve">17. </w:t>
      </w:r>
      <w:r>
        <w:rPr>
          <w:sz w:val="21"/>
        </w:rPr>
        <w:t>Mahoney, F. I., &amp; Barthel, D. W. (1965). Functional evaluation: the Barthel Index. Maryland State Medical Journal, 14, 56-61.</w:t>
      </w:r>
    </w:p>
    <w:p>
      <w:pPr>
        <w:ind w:hanging="454" w:left="454"/>
      </w:pPr>
      <w:r>
        <w:rPr>
          <w:b/>
          <w:sz w:val="21"/>
        </w:rPr>
        <w:t xml:space="preserve">18. </w:t>
      </w:r>
      <w:r>
        <w:rPr>
          <w:sz w:val="21"/>
        </w:rPr>
        <w:t>Menz, H. B. (2019). Podiatry interventions to prevent falls in older people: a systematic review and meta-analysis. Age and Ageing, 48(3), 327-336.</w:t>
      </w:r>
    </w:p>
    <w:p>
      <w:pPr>
        <w:ind w:hanging="454" w:left="454"/>
      </w:pPr>
      <w:r>
        <w:rPr>
          <w:b/>
          <w:sz w:val="21"/>
        </w:rPr>
        <w:t xml:space="preserve">19. </w:t>
      </w:r>
      <w:r>
        <w:rPr>
          <w:sz w:val="21"/>
        </w:rPr>
        <w:t>National Institute for Health and Care Excellence. (2013). Falls in older people: assessing risk and prevention. Clinical Guideline CG161. London: NICE.</w:t>
      </w:r>
    </w:p>
    <w:p>
      <w:pPr>
        <w:ind w:hanging="454" w:left="454"/>
      </w:pPr>
      <w:r>
        <w:rPr>
          <w:b/>
          <w:sz w:val="21"/>
        </w:rPr>
        <w:t xml:space="preserve">20. </w:t>
      </w:r>
      <w:r>
        <w:rPr>
          <w:sz w:val="21"/>
        </w:rPr>
        <w:t>O'Mahony, D., Cherubini, A., Guiteras, A. R., et al. (2023). STOPP/START criteria for polypharmacy in older adults: version 3. European Geriatric Medicine.</w:t>
      </w:r>
    </w:p>
    <w:p>
      <w:pPr>
        <w:ind w:hanging="454" w:left="454"/>
      </w:pPr>
      <w:r>
        <w:rPr>
          <w:b/>
          <w:sz w:val="21"/>
        </w:rPr>
        <w:t xml:space="preserve">21. </w:t>
      </w:r>
      <w:r>
        <w:rPr>
          <w:sz w:val="21"/>
        </w:rPr>
        <w:t>Pasqualetti, G., et al. (2017). Clinical differences among the elderly admitted to the emergency department for accidental or unexplained falls and syncope. Clinical Interventions in Aging, 12, 1935-1942.</w:t>
      </w:r>
    </w:p>
    <w:p>
      <w:pPr>
        <w:ind w:hanging="454" w:left="454"/>
      </w:pPr>
      <w:r>
        <w:rPr>
          <w:b/>
          <w:sz w:val="21"/>
        </w:rPr>
        <w:t xml:space="preserve">22. </w:t>
      </w:r>
      <w:r>
        <w:rPr>
          <w:sz w:val="21"/>
        </w:rPr>
        <w:t>Pichierri, G., et al. (2021). Efficacy of exercise-based interventions in preventing falls among community-dwelling older persons with cognitive impairment: an updated systematic review and meta-analysis. Aging Clinical and Experimental Research, 33, 2481-2495.</w:t>
      </w:r>
    </w:p>
    <w:p>
      <w:pPr>
        <w:ind w:hanging="454" w:left="454"/>
      </w:pPr>
      <w:r>
        <w:rPr>
          <w:b/>
          <w:sz w:val="21"/>
        </w:rPr>
        <w:t xml:space="preserve">23. </w:t>
      </w:r>
      <w:r>
        <w:rPr>
          <w:sz w:val="21"/>
        </w:rPr>
        <w:t>Podsiadlo, D., &amp; Richardson, S. (1991). The Timed Up &amp; Go: a test of basic functional mobility for frail elderly persons. Journal of the American Geriatrics Society, 39(2), 142-148.</w:t>
      </w:r>
    </w:p>
    <w:p>
      <w:pPr>
        <w:ind w:hanging="454" w:left="454"/>
      </w:pPr>
      <w:r>
        <w:rPr>
          <w:b/>
          <w:sz w:val="21"/>
        </w:rPr>
        <w:t xml:space="preserve">24. </w:t>
      </w:r>
      <w:r>
        <w:rPr>
          <w:sz w:val="21"/>
        </w:rPr>
        <w:t>Sherrington, C., Michaleff, Z. A., Fairhall, N., et al. (2017). Exercise to prevent falls in older adults: an updated systematic review and meta-analysis. British Journal of Sports Medicine, 51(24), 1750-1758.</w:t>
      </w:r>
    </w:p>
    <w:p>
      <w:pPr>
        <w:ind w:hanging="454" w:left="454"/>
      </w:pPr>
      <w:r>
        <w:rPr>
          <w:b/>
          <w:sz w:val="21"/>
        </w:rPr>
        <w:t xml:space="preserve">25. </w:t>
      </w:r>
      <w:r>
        <w:rPr>
          <w:sz w:val="21"/>
        </w:rPr>
        <w:t>Shumway-Cook, A., Brauer, S., &amp; Woollacott, M. (2000). Predicting the probability for falls in community-dwelling older adults using the Timed Up &amp; Go Test. Physical Therapy, 80(9), 896-903.</w:t>
      </w:r>
    </w:p>
    <w:p>
      <w:pPr>
        <w:ind w:hanging="454" w:left="454"/>
      </w:pPr>
      <w:r>
        <w:rPr>
          <w:b/>
          <w:sz w:val="21"/>
        </w:rPr>
        <w:t xml:space="preserve">26. </w:t>
      </w:r>
      <w:r>
        <w:rPr>
          <w:sz w:val="21"/>
        </w:rPr>
        <w:t>Stone, K. L., Ancoli-Israel, S., Blackwell, T., et al. (2008). Actigraphy-measured sleep characteristics and risk of falls in older women. Archives of Internal Medicine, 168(16), 1768-1775.</w:t>
      </w:r>
    </w:p>
    <w:p>
      <w:pPr>
        <w:ind w:hanging="454" w:left="454"/>
      </w:pPr>
      <w:r>
        <w:rPr>
          <w:b/>
          <w:sz w:val="21"/>
        </w:rPr>
        <w:t xml:space="preserve">27. </w:t>
      </w:r>
      <w:r>
        <w:rPr>
          <w:sz w:val="21"/>
        </w:rPr>
        <w:t>World Health Organization. (2021). Falls. Fact Sheet. Geneva: WHO.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