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FEATURE-VALUE-STRATIFIED</w:t>
        <w:br/>
        <w:t>FALL-RISK REDUCTION INTERVENTIONS</w:t>
      </w:r>
    </w:p>
    <w:p/>
    <w:p>
      <w:pPr>
        <w:jc w:val="center"/>
      </w:pPr>
      <w:r>
        <w:rPr>
          <w:i/>
          <w:sz w:val="24"/>
        </w:rPr>
        <w:t>Each model feature is split into value bands; every band maps to a concrete</w:t>
        <w:br/>
        <w:t>adjustment action with an evidence citation (for supervisor review).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The previous age-banded edition stratified by age (60-70/71-80/81-100). This edition goes one level deeper: it stratifies each feature by its VALUE. For a feature such as tug_seconds, the action for 9.0 s is not the same as for 16 s or for 24 s. Every band below is anchored to published thresholds (e.g., TUG 13.5 s = Shumway-Cook 2000; polypharmacy &gt;= 5 = AAFP 2019; nocturia &gt;= 3/night = Kim 2017).</w:t>
      </w:r>
    </w:p>
    <w:p>
      <w:r>
        <w:rPr>
          <w:rFonts w:ascii="Calibri" w:hAnsi="Calibri"/>
          <w:b w:val="0"/>
          <w:i w:val="0"/>
          <w:sz w:val="22"/>
        </w:rPr>
        <w:t>Bands labelled [REDUCIBLE] mean the intervention lowers the feature's value; [INDIRECT] means the value is fixed but future fall risk is lowered; [ROUTING] means the feature routes to a medical workup, not to balance training.</w:t>
      </w:r>
    </w:p>
    <w:p>
      <w:pPr>
        <w:pStyle w:val="Heading1"/>
      </w:pPr>
      <w:r>
        <w:rPr>
          <w:rFonts w:ascii="Calibri" w:hAnsi="Calibri"/>
        </w:rPr>
        <w:t>2. Methodology</w:t>
      </w:r>
    </w:p>
    <w:p>
      <w:r>
        <w:rPr>
          <w:rFonts w:ascii="Calibri" w:hAnsi="Calibri"/>
          <w:b w:val="0"/>
          <w:i w:val="0"/>
          <w:sz w:val="22"/>
        </w:rPr>
        <w:t>Value-band thresholds were derived from, in priority order:</w:t>
      </w:r>
    </w:p>
    <w:p>
      <w:pPr>
        <w:pStyle w:val="ListNumber"/>
      </w:pPr>
      <w:r>
        <w:t>1. Published clinical cut-offs (TUG 13.5 s/20 s; polypharmacy 5; nocturia 3/night; BP 20/10 mmHg).</w:t>
      </w:r>
    </w:p>
    <w:p>
      <w:pPr>
        <w:pStyle w:val="ListNumber"/>
      </w:pPr>
      <w:r>
        <w:t>2. Age-stratified normative values (TUG 8.1 s for 60-69; Bohannon 2006).</w:t>
      </w:r>
    </w:p>
    <w:p>
      <w:pPr>
        <w:pStyle w:val="ListNumber"/>
      </w:pPr>
      <w:r>
        <w:t>3. Tool scoring definitions (mobility_score mapped to TUG; Barthel ADL).</w:t>
      </w:r>
    </w:p>
    <w:p>
      <w:pPr>
        <w:pStyle w:val="ListNumber"/>
      </w:pPr>
      <w:r>
        <w:t>4. Epidemiological risk thresholds (falls &gt;= 2/yr = recurrent faller; Jehu 2021).</w:t>
      </w:r>
    </w:p>
    <w:p>
      <w:pPr>
        <w:ind w:left="454"/>
      </w:pPr>
      <w:r>
        <w:rPr>
          <w:i/>
          <w:sz w:val="21"/>
        </w:rPr>
        <w:t>Level A = meta-analysis / Cochrane; Level B = large cohort or guideline; Level C = tool/expert.</w:t>
      </w:r>
    </w:p>
    <w:p>
      <w:pPr>
        <w:pStyle w:val="Heading1"/>
      </w:pPr>
      <w:r>
        <w:rPr>
          <w:rFonts w:ascii="Calibri" w:hAnsi="Calibri"/>
        </w:rPr>
        <w:t>3. Feature-by-Feature Value Bands</w:t>
      </w:r>
    </w:p>
    <w:p>
      <w:pPr>
        <w:pStyle w:val="Heading2"/>
      </w:pPr>
      <w:r>
        <w:rPr>
          <w:rFonts w:ascii="Calibri" w:hAnsi="Calibri"/>
        </w:rPr>
        <w:t>3.1 age (60-100) [INDIRECT]</w:t>
      </w:r>
    </w:p>
    <w:p>
      <w:r>
        <w:rPr>
          <w:rFonts w:ascii="Calibri" w:hAnsi="Calibri"/>
          <w:b w:val="0"/>
          <w:i w:val="0"/>
          <w:sz w:val="22"/>
        </w:rPr>
        <w:t>Age is fixed; the bands set the prevention intensity.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60-70</w:t>
            </w:r>
          </w:p>
        </w:tc>
        <w:tc>
          <w:tcPr>
            <w:tcW w:type="dxa" w:w="2493"/>
          </w:tcPr>
          <w:p>
            <w:r>
              <w:t>Primary-prevention window</w:t>
            </w:r>
          </w:p>
        </w:tc>
        <w:tc>
          <w:tcPr>
            <w:tcW w:type="dxa" w:w="2493"/>
          </w:tcPr>
          <w:p>
            <w:r>
              <w:t>Balance/strength exercise 3+ h/wk; annual STEADI screen; optimise modifiable features.</w:t>
            </w:r>
          </w:p>
        </w:tc>
        <w:tc>
          <w:tcPr>
            <w:tcW w:type="dxa" w:w="2493"/>
          </w:tcPr>
          <w:p>
            <w:r>
              <w:t>A - Sherrington 2017; CDC STEADI 2019</w:t>
            </w:r>
          </w:p>
        </w:tc>
      </w:tr>
      <w:tr>
        <w:tc>
          <w:tcPr>
            <w:tcW w:type="dxa" w:w="2493"/>
          </w:tcPr>
          <w:p>
            <w:r>
              <w:t>71-80</w:t>
            </w:r>
          </w:p>
        </w:tc>
        <w:tc>
          <w:tcPr>
            <w:tcW w:type="dxa" w:w="2493"/>
          </w:tcPr>
          <w:p>
            <w:r>
              <w:t>Secondary prevention</w:t>
            </w:r>
          </w:p>
        </w:tc>
        <w:tc>
          <w:tcPr>
            <w:tcW w:type="dxa" w:w="2493"/>
          </w:tcPr>
          <w:p>
            <w:r>
              <w:t>Exercise 2-3 h/wk; manage rising multi-morbidity; yearly medication review.</w:t>
            </w:r>
          </w:p>
        </w:tc>
        <w:tc>
          <w:tcPr>
            <w:tcW w:type="dxa" w:w="2493"/>
          </w:tcPr>
          <w:p>
            <w:r>
              <w:t>A - Gillespie 2012</w:t>
            </w:r>
          </w:p>
        </w:tc>
      </w:tr>
      <w:tr>
        <w:tc>
          <w:tcPr>
            <w:tcW w:type="dxa" w:w="2493"/>
          </w:tcPr>
          <w:p>
            <w:r>
              <w:t>81-100</w:t>
            </w:r>
          </w:p>
        </w:tc>
        <w:tc>
          <w:tcPr>
            <w:tcW w:type="dxa" w:w="2493"/>
          </w:tcPr>
          <w:p>
            <w:r>
              <w:t>Tertiary prevention / frailty</w:t>
            </w:r>
          </w:p>
        </w:tc>
        <w:tc>
          <w:tcPr>
            <w:tcW w:type="dxa" w:w="2493"/>
          </w:tcPr>
          <w:p>
            <w:r>
              <w:t>Low-intensity supervised exercise; aggressive deprescribing; fracture-prevention plan (DXA, vitamin D).</w:t>
            </w:r>
          </w:p>
        </w:tc>
        <w:tc>
          <w:tcPr>
            <w:tcW w:type="dxa" w:w="2493"/>
          </w:tcPr>
          <w:p>
            <w:r>
              <w:t>B - WHO 2021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sex (M/F) [INDIRECT]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Female</w:t>
            </w:r>
          </w:p>
        </w:tc>
        <w:tc>
          <w:tcPr>
            <w:tcW w:type="dxa" w:w="2493"/>
          </w:tcPr>
          <w:p>
            <w:r>
              <w:t>Higher fall incidence (epidemiology)</w:t>
            </w:r>
          </w:p>
        </w:tc>
        <w:tc>
          <w:tcPr>
            <w:tcW w:type="dxa" w:w="2493"/>
          </w:tcPr>
          <w:p>
            <w:r>
              <w:t>Screen urinary urgency -&gt; bedside commode; DXA for osteoporosis; monitor bone density.</w:t>
            </w:r>
          </w:p>
        </w:tc>
        <w:tc>
          <w:tcPr>
            <w:tcW w:type="dxa" w:w="2493"/>
          </w:tcPr>
          <w:p>
            <w:r>
              <w:t>B - WHO 2021; CDC STEADI 2019</w:t>
            </w:r>
          </w:p>
        </w:tc>
      </w:tr>
      <w:tr>
        <w:tc>
          <w:tcPr>
            <w:tcW w:type="dxa" w:w="2493"/>
          </w:tcPr>
          <w:p>
            <w:r>
              <w:t>Male</w:t>
            </w:r>
          </w:p>
        </w:tc>
        <w:tc>
          <w:tcPr>
            <w:tcW w:type="dxa" w:w="2493"/>
          </w:tcPr>
          <w:p>
            <w:r>
              <w:t>Higher fall-related mortality</w:t>
            </w:r>
          </w:p>
        </w:tc>
        <w:tc>
          <w:tcPr>
            <w:tcW w:type="dxa" w:w="2493"/>
          </w:tcPr>
          <w:p>
            <w:r>
              <w:t>Screen alcohol intake; monitor orthostatic hypotension after antihypertensive changes.</w:t>
            </w:r>
          </w:p>
        </w:tc>
        <w:tc>
          <w:tcPr>
            <w:tcW w:type="dxa" w:w="2493"/>
          </w:tcPr>
          <w:p>
            <w:r>
              <w:t>B - CDC STEADI 2019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3.3 night_bed_exits (0-8/night)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0-1</w:t>
            </w:r>
          </w:p>
        </w:tc>
        <w:tc>
          <w:tcPr>
            <w:tcW w:type="dxa" w:w="2493"/>
          </w:tcPr>
          <w:p>
            <w:r>
              <w:t>Normal</w:t>
            </w:r>
          </w:p>
        </w:tc>
        <w:tc>
          <w:tcPr>
            <w:tcW w:type="dxa" w:w="2493"/>
          </w:tcPr>
          <w:p>
            <w:r>
              <w:t>No action; annual screening.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Mild nocturia</w:t>
            </w:r>
          </w:p>
        </w:tc>
        <w:tc>
          <w:tcPr>
            <w:tcW w:type="dxa" w:w="2493"/>
          </w:tcPr>
          <w:p>
            <w:r>
              <w:t>Limit fluids 2 h before bed; avoid evening caffeine/alcohol.</w:t>
            </w:r>
          </w:p>
        </w:tc>
        <w:tc>
          <w:tcPr>
            <w:tcW w:type="dxa" w:w="2493"/>
          </w:tcPr>
          <w:p>
            <w:r>
              <w:t>B - Kim 2017</w:t>
            </w:r>
          </w:p>
        </w:tc>
      </w:tr>
      <w:tr>
        <w:tc>
          <w:tcPr>
            <w:tcW w:type="dxa" w:w="2493"/>
          </w:tcPr>
          <w:p>
            <w:r>
              <w:t>3-4</w:t>
            </w:r>
          </w:p>
        </w:tc>
        <w:tc>
          <w:tcPr>
            <w:tcW w:type="dxa" w:w="2493"/>
          </w:tcPr>
          <w:p>
            <w:r>
              <w:t>Moderate (elevated risk)</w:t>
            </w:r>
          </w:p>
        </w:tc>
        <w:tc>
          <w:tcPr>
            <w:tcW w:type="dxa" w:w="2493"/>
          </w:tcPr>
          <w:p>
            <w:r>
              <w:t>Add bedside commode; night light; non-slip slippers; clear floor path.</w:t>
            </w:r>
          </w:p>
        </w:tc>
        <w:tc>
          <w:tcPr>
            <w:tcW w:type="dxa" w:w="2493"/>
          </w:tcPr>
          <w:p>
            <w:r>
              <w:t>B - Kim 2017 (&gt;=3/night OR 1.41); Dynseo 2026</w:t>
            </w:r>
          </w:p>
        </w:tc>
      </w:tr>
      <w:tr>
        <w:tc>
          <w:tcPr>
            <w:tcW w:type="dxa" w:w="2493"/>
          </w:tcPr>
          <w:p>
            <w:r>
              <w:t>5-8</w:t>
            </w:r>
          </w:p>
        </w:tc>
        <w:tc>
          <w:tcPr>
            <w:tcW w:type="dxa" w:w="2493"/>
          </w:tcPr>
          <w:p>
            <w:r>
              <w:t>Severe</w:t>
            </w:r>
          </w:p>
        </w:tc>
        <w:tc>
          <w:tcPr>
            <w:tcW w:type="dxa" w:w="2493"/>
          </w:tcPr>
          <w:p>
            <w:r>
              <w:t>Same as moderate + review prostate (men) / bladder (women); consider night supervision / sensor mattress.</w:t>
            </w:r>
          </w:p>
        </w:tc>
        <w:tc>
          <w:tcPr>
            <w:tcW w:type="dxa" w:w="2493"/>
          </w:tcPr>
          <w:p>
            <w:r>
              <w:t>C - Dynseo 2026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3.4 night_activity_duration_min (0-120 min)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0-30</w:t>
            </w:r>
          </w:p>
        </w:tc>
        <w:tc>
          <w:tcPr>
            <w:tcW w:type="dxa" w:w="2493"/>
          </w:tcPr>
          <w:p>
            <w:r>
              <w:t>Normal</w:t>
            </w:r>
          </w:p>
        </w:tc>
        <w:tc>
          <w:tcPr>
            <w:tcW w:type="dxa" w:w="2493"/>
          </w:tcPr>
          <w:p>
            <w:r>
              <w:t>No action.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31-60</w:t>
            </w:r>
          </w:p>
        </w:tc>
        <w:tc>
          <w:tcPr>
            <w:tcW w:type="dxa" w:w="2493"/>
          </w:tcPr>
          <w:p>
            <w:r>
              <w:t>Mild sleep fragmentation</w:t>
            </w:r>
          </w:p>
        </w:tc>
        <w:tc>
          <w:tcPr>
            <w:tcW w:type="dxa" w:w="2493"/>
          </w:tcPr>
          <w:p>
            <w:r>
              <w:t>Screen for pain, nocturia; keep bedroom quiet/cool; sleep hygiene.</w:t>
            </w:r>
          </w:p>
        </w:tc>
        <w:tc>
          <w:tcPr>
            <w:tcW w:type="dxa" w:w="2493"/>
          </w:tcPr>
          <w:p>
            <w:r>
              <w:t>B - Stone 2008</w:t>
            </w:r>
          </w:p>
        </w:tc>
      </w:tr>
      <w:tr>
        <w:tc>
          <w:tcPr>
            <w:tcW w:type="dxa" w:w="2493"/>
          </w:tcPr>
          <w:p>
            <w:r>
              <w:t>&gt;60</w:t>
            </w:r>
          </w:p>
        </w:tc>
        <w:tc>
          <w:tcPr>
            <w:tcW w:type="dxa" w:w="2493"/>
          </w:tcPr>
          <w:p>
            <w:r>
              <w:t>Severe fragmentation (~25-30% higher fall risk)</w:t>
            </w:r>
          </w:p>
        </w:tc>
        <w:tc>
          <w:tcPr>
            <w:tcW w:type="dxa" w:w="2493"/>
          </w:tcPr>
          <w:p>
            <w:r>
              <w:t>Screen sleep apnoea (refer if loud snoring/STOP-BANG+); CBT-I for insomnia; treat pain; tell nurse.</w:t>
            </w:r>
          </w:p>
        </w:tc>
        <w:tc>
          <w:tcPr>
            <w:tcW w:type="dxa" w:w="2493"/>
          </w:tcPr>
          <w:p>
            <w:r>
              <w:t>B - Stone 2008; AAFP 2024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3.5 past_falls (0-5/yr) [INDIRECT - strongest predictor]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Non-faller</w:t>
            </w:r>
          </w:p>
        </w:tc>
        <w:tc>
          <w:tcPr>
            <w:tcW w:type="dxa" w:w="2493"/>
          </w:tcPr>
          <w:p>
            <w:r>
              <w:t>Annual screening (STEADI 3 questions).</w:t>
            </w:r>
          </w:p>
        </w:tc>
        <w:tc>
          <w:tcPr>
            <w:tcW w:type="dxa" w:w="2493"/>
          </w:tcPr>
          <w:p>
            <w:r>
              <w:t>A - CDC STEADI 2019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Single faller (risk ~doubles)</w:t>
            </w:r>
          </w:p>
        </w:tc>
        <w:tc>
          <w:tcPr>
            <w:tcW w:type="dxa" w:w="2493"/>
          </w:tcPr>
          <w:p>
            <w:r>
              <w:t>Full check within this week: orthostatic BP, vision, feet, medication review, home hazards.</w:t>
            </w:r>
          </w:p>
        </w:tc>
        <w:tc>
          <w:tcPr>
            <w:tcW w:type="dxa" w:w="2493"/>
          </w:tcPr>
          <w:p>
            <w:r>
              <w:t>A - Gates 2008 (LR ~2.3)</w:t>
            </w:r>
          </w:p>
        </w:tc>
      </w:tr>
      <w:tr>
        <w:tc>
          <w:tcPr>
            <w:tcW w:type="dxa" w:w="2493"/>
          </w:tcPr>
          <w:p>
            <w:r>
              <w:t>2-5</w:t>
            </w:r>
          </w:p>
        </w:tc>
        <w:tc>
          <w:tcPr>
            <w:tcW w:type="dxa" w:w="2493"/>
          </w:tcPr>
          <w:p>
            <w:r>
              <w:t>Recurrent faller (+33-53% risk)</w:t>
            </w:r>
          </w:p>
        </w:tc>
        <w:tc>
          <w:tcPr>
            <w:tcW w:type="dxa" w:w="2493"/>
          </w:tcPr>
          <w:p>
            <w:r>
              <w:t>Same full check + referral to falls clinic / geriatrician; fracture-prevention plan.</w:t>
            </w:r>
          </w:p>
        </w:tc>
        <w:tc>
          <w:tcPr>
            <w:tcW w:type="dxa" w:w="2493"/>
          </w:tcPr>
          <w:p>
            <w:r>
              <w:t>A - Jehu 2021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3.6 mobility_score (1-10, higher = better)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8-10</w:t>
            </w:r>
          </w:p>
        </w:tc>
        <w:tc>
          <w:tcPr>
            <w:tcW w:type="dxa" w:w="2493"/>
          </w:tcPr>
          <w:p>
            <w:r>
              <w:t>Independent</w:t>
            </w:r>
          </w:p>
        </w:tc>
        <w:tc>
          <w:tcPr>
            <w:tcW w:type="dxa" w:w="2493"/>
          </w:tcPr>
          <w:p>
            <w:r>
              <w:t>Maintain exercise; annual review.</w:t>
            </w:r>
          </w:p>
        </w:tc>
        <w:tc>
          <w:tcPr>
            <w:tcW w:type="dxa" w:w="2493"/>
          </w:tcPr>
          <w:p>
            <w:r>
              <w:t>A - Sherrington 2017</w:t>
            </w:r>
          </w:p>
        </w:tc>
      </w:tr>
      <w:tr>
        <w:tc>
          <w:tcPr>
            <w:tcW w:type="dxa" w:w="2493"/>
          </w:tcPr>
          <w:p>
            <w:r>
              <w:t>5-7</w:t>
            </w:r>
          </w:p>
        </w:tc>
        <w:tc>
          <w:tcPr>
            <w:tcW w:type="dxa" w:w="2493"/>
          </w:tcPr>
          <w:p>
            <w:r>
              <w:t>Reduced mobility</w:t>
            </w:r>
          </w:p>
        </w:tc>
        <w:tc>
          <w:tcPr>
            <w:tcW w:type="dxa" w:w="2493"/>
          </w:tcPr>
          <w:p>
            <w:r>
              <w:t>Otago / Tai Chi &gt;= 3 h/wk; physiotherapy-guided programme.</w:t>
            </w:r>
          </w:p>
        </w:tc>
        <w:tc>
          <w:tcPr>
            <w:tcW w:type="dxa" w:w="2493"/>
          </w:tcPr>
          <w:p>
            <w:r>
              <w:t>A - Sherrington 2017; Gillespie 2012</w:t>
            </w:r>
          </w:p>
        </w:tc>
      </w:tr>
      <w:tr>
        <w:tc>
          <w:tcPr>
            <w:tcW w:type="dxa" w:w="2493"/>
          </w:tcPr>
          <w:p>
            <w:r>
              <w:t>1-4</w:t>
            </w:r>
          </w:p>
        </w:tc>
        <w:tc>
          <w:tcPr>
            <w:tcW w:type="dxa" w:w="2493"/>
          </w:tcPr>
          <w:p>
            <w:r>
              <w:t>Severely reduced</w:t>
            </w:r>
          </w:p>
        </w:tc>
        <w:tc>
          <w:tcPr>
            <w:tcW w:type="dxa" w:w="2493"/>
          </w:tcPr>
          <w:p>
            <w:r>
              <w:t>Physiotherapy referral; assess walking aid; supervised programme; OT home assessment.</w:t>
            </w:r>
          </w:p>
        </w:tc>
        <w:tc>
          <w:tcPr>
            <w:tcW w:type="dxa" w:w="2493"/>
          </w:tcPr>
          <w:p>
            <w:r>
              <w:t>A - Gillespie 2012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3.7 high_risk_medication (0/1)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 fall-risk drug</w:t>
            </w:r>
          </w:p>
        </w:tc>
        <w:tc>
          <w:tcPr>
            <w:tcW w:type="dxa" w:w="2493"/>
          </w:tcPr>
          <w:p>
            <w:r>
              <w:t>Review at annual medication check.</w:t>
            </w:r>
          </w:p>
        </w:tc>
        <w:tc>
          <w:tcPr>
            <w:tcW w:type="dxa" w:w="2493"/>
          </w:tcPr>
          <w:p>
            <w:r>
              <w:t>A - Beers 2023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&gt;=1 FRID in use</w:t>
            </w:r>
          </w:p>
        </w:tc>
        <w:tc>
          <w:tcPr>
            <w:tcW w:type="dxa" w:w="2493"/>
          </w:tcPr>
          <w:p>
            <w:r>
              <w:t>Identify the drug (BZD, Z-drug, antipsychotic, TCA/SSRI, opioid, gabapentinoid); deprescribe with prescriber; gradual psychotropic withdrawal cuts falls 66%.</w:t>
            </w:r>
          </w:p>
        </w:tc>
        <w:tc>
          <w:tcPr>
            <w:tcW w:type="dxa" w:w="2493"/>
          </w:tcPr>
          <w:p>
            <w:r>
              <w:t>A - Beers 2023; STOPP/START 2023; Gillespie 2012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3.8 polypharmacy_count (0-14)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0-4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Annual medication review.</w:t>
            </w:r>
          </w:p>
        </w:tc>
        <w:tc>
          <w:tcPr>
            <w:tcW w:type="dxa" w:w="2493"/>
          </w:tcPr>
          <w:p>
            <w:r>
              <w:t>A - AAFP 2019</w:t>
            </w:r>
          </w:p>
        </w:tc>
      </w:tr>
      <w:tr>
        <w:tc>
          <w:tcPr>
            <w:tcW w:type="dxa" w:w="2493"/>
          </w:tcPr>
          <w:p>
            <w:r>
              <w:t>5-7</w:t>
            </w:r>
          </w:p>
        </w:tc>
        <w:tc>
          <w:tcPr>
            <w:tcW w:type="dxa" w:w="2493"/>
          </w:tcPr>
          <w:p>
            <w:r>
              <w:t>Polypharmacy (each extra drug +8-28% fall risk)</w:t>
            </w:r>
          </w:p>
        </w:tc>
        <w:tc>
          <w:tcPr>
            <w:tcW w:type="dxa" w:w="2493"/>
          </w:tcPr>
          <w:p>
            <w:r>
              <w:t>Pharmacist review once a year; stop PIMs and duplicates.</w:t>
            </w:r>
          </w:p>
        </w:tc>
        <w:tc>
          <w:tcPr>
            <w:tcW w:type="dxa" w:w="2493"/>
          </w:tcPr>
          <w:p>
            <w:r>
              <w:t>A - AAFP 2019; Dhalwani 2017</w:t>
            </w:r>
          </w:p>
        </w:tc>
      </w:tr>
      <w:tr>
        <w:tc>
          <w:tcPr>
            <w:tcW w:type="dxa" w:w="2493"/>
          </w:tcPr>
          <w:p>
            <w:r>
              <w:t>8-10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Pharmacist review every 6 months; reduce anticholinergic burden (ACB).</w:t>
            </w:r>
          </w:p>
        </w:tc>
        <w:tc>
          <w:tcPr>
            <w:tcW w:type="dxa" w:w="2493"/>
          </w:tcPr>
          <w:p>
            <w:r>
              <w:t>B - WHO 2019</w:t>
            </w:r>
          </w:p>
        </w:tc>
      </w:tr>
      <w:tr>
        <w:tc>
          <w:tcPr>
            <w:tcW w:type="dxa" w:w="2493"/>
          </w:tcPr>
          <w:p>
            <w:r>
              <w:t>11-14</w:t>
            </w:r>
          </w:p>
        </w:tc>
        <w:tc>
          <w:tcPr>
            <w:tcW w:type="dxa" w:w="2493"/>
          </w:tcPr>
          <w:p>
            <w:r>
              <w:t>Very high</w:t>
            </w:r>
          </w:p>
        </w:tc>
        <w:tc>
          <w:tcPr>
            <w:tcW w:type="dxa" w:w="2493"/>
          </w:tcPr>
          <w:p>
            <w:r>
              <w:t>Pharmacist review every 3 months; simplify regimen; avoid &gt;=3 CNS-active drugs.</w:t>
            </w:r>
          </w:p>
        </w:tc>
        <w:tc>
          <w:tcPr>
            <w:tcW w:type="dxa" w:w="2493"/>
          </w:tcPr>
          <w:p>
            <w:r>
              <w:t>A - Beers 2023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3.9 cognitive_impairment (0/1/2) [PARTIALLY 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None</w:t>
            </w:r>
          </w:p>
        </w:tc>
        <w:tc>
          <w:tcPr>
            <w:tcW w:type="dxa" w:w="2493"/>
          </w:tcPr>
          <w:p>
            <w:r>
              <w:t>Routine screening.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Mild (MCI) - fall risk ~2x</w:t>
            </w:r>
          </w:p>
        </w:tc>
        <w:tc>
          <w:tcPr>
            <w:tcW w:type="dxa" w:w="2493"/>
          </w:tcPr>
          <w:p>
            <w:r>
              <w:t>Combined exercise + cognitive training; refer MoCA/MMSE; check reversible causes (B12, thyroid, apnoea, depression).</w:t>
            </w:r>
          </w:p>
        </w:tc>
        <w:tc>
          <w:tcPr>
            <w:tcW w:type="dxa" w:w="2493"/>
          </w:tcPr>
          <w:p>
            <w:r>
              <w:t>A - Lipardo 2017; Pichierri 2021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Moderate-severe</w:t>
            </w:r>
          </w:p>
        </w:tc>
        <w:tc>
          <w:tcPr>
            <w:tcW w:type="dxa" w:w="2493"/>
          </w:tcPr>
          <w:p>
            <w:r>
              <w:t>Full multifactorial with caregiver; supervised day programme; remove deliriogenic/anticholinergic drugs; aggressive home hazard control.</w:t>
            </w:r>
          </w:p>
        </w:tc>
        <w:tc>
          <w:tcPr>
            <w:tcW w:type="dxa" w:w="2493"/>
          </w:tcPr>
          <w:p>
            <w:r>
              <w:t>A - Beers 2023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3.10 orthostatic_hypotension (0/1)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 OH</w:t>
            </w:r>
          </w:p>
        </w:tc>
        <w:tc>
          <w:tcPr>
            <w:tcW w:type="dxa" w:w="2493"/>
          </w:tcPr>
          <w:p>
            <w:r>
              <w:t>Routine screening.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OH (&gt;=20/10 mmHg drop in 3 min)</w:t>
            </w:r>
          </w:p>
        </w:tc>
        <w:tc>
          <w:tcPr>
            <w:tcW w:type="dxa" w:w="2493"/>
          </w:tcPr>
          <w:p>
            <w:r>
              <w:t>Measure lying/standing BP; review antihypertensives &amp; vasodilators; 3-step rise; hydrate 1.5-2 L/day; compression stockings; head-of-bed 10-20 deg.</w:t>
            </w:r>
          </w:p>
        </w:tc>
        <w:tc>
          <w:tcPr>
            <w:tcW w:type="dxa" w:w="2493"/>
          </w:tcPr>
          <w:p>
            <w:r>
              <w:t>A - Freeman 2018; CDC STEADI 2019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3.11 tug_seconds (8.0-31.9 s) [REDUCIBLE]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&lt; 8.5</w:t>
            </w:r>
          </w:p>
        </w:tc>
        <w:tc>
          <w:tcPr>
            <w:tcW w:type="dxa" w:w="2493"/>
          </w:tcPr>
          <w:p>
            <w:r>
              <w:t>Normal for 60-69 (mean 8.1 s)</w:t>
            </w:r>
          </w:p>
        </w:tc>
        <w:tc>
          <w:tcPr>
            <w:tcW w:type="dxa" w:w="2493"/>
          </w:tcPr>
          <w:p>
            <w:r>
              <w:t>Annual screening; maintain activity.</w:t>
            </w:r>
          </w:p>
        </w:tc>
        <w:tc>
          <w:tcPr>
            <w:tcW w:type="dxa" w:w="2493"/>
          </w:tcPr>
          <w:p>
            <w:r>
              <w:t>B - Bohannon 2006</w:t>
            </w:r>
          </w:p>
        </w:tc>
      </w:tr>
      <w:tr>
        <w:tc>
          <w:tcPr>
            <w:tcW w:type="dxa" w:w="2493"/>
          </w:tcPr>
          <w:p>
            <w:r>
              <w:t>8.5-11.9</w:t>
            </w:r>
          </w:p>
        </w:tc>
        <w:tc>
          <w:tcPr>
            <w:tcW w:type="dxa" w:w="2493"/>
          </w:tcPr>
          <w:p>
            <w:r>
              <w:t>Mildly slow (&gt;=1 SD over age-norm)</w:t>
            </w:r>
          </w:p>
        </w:tc>
        <w:tc>
          <w:tcPr>
            <w:tcW w:type="dxa" w:w="2493"/>
          </w:tcPr>
          <w:p>
            <w:r>
              <w:t>Start balance/leg training NOW (sensitive threshold at 60-70); heel-to-toe walk, sit-stand 10x.</w:t>
            </w:r>
          </w:p>
        </w:tc>
        <w:tc>
          <w:tcPr>
            <w:tcW w:type="dxa" w:w="2493"/>
          </w:tcPr>
          <w:p>
            <w:r>
              <w:t>B - Bohannon 2006; Sherrington 2017</w:t>
            </w:r>
          </w:p>
        </w:tc>
      </w:tr>
      <w:tr>
        <w:tc>
          <w:tcPr>
            <w:tcW w:type="dxa" w:w="2493"/>
          </w:tcPr>
          <w:p>
            <w:r>
              <w:t>12.0-13.4</w:t>
            </w:r>
          </w:p>
        </w:tc>
        <w:tc>
          <w:tcPr>
            <w:tcW w:type="dxa" w:w="2493"/>
          </w:tcPr>
          <w:p>
            <w:r>
              <w:t>Approaching high risk</w:t>
            </w:r>
          </w:p>
        </w:tc>
        <w:tc>
          <w:tcPr>
            <w:tcW w:type="dxa" w:w="2493"/>
          </w:tcPr>
          <w:p>
            <w:r>
              <w:t>Same + physiotherapist assessment; TUG alone cannot rule out falls (low sensitivity).</w:t>
            </w:r>
          </w:p>
        </w:tc>
        <w:tc>
          <w:tcPr>
            <w:tcW w:type="dxa" w:w="2493"/>
          </w:tcPr>
          <w:p>
            <w:r>
              <w:t>A - Barry 2014</w:t>
            </w:r>
          </w:p>
        </w:tc>
      </w:tr>
      <w:tr>
        <w:tc>
          <w:tcPr>
            <w:tcW w:type="dxa" w:w="2493"/>
          </w:tcPr>
          <w:p>
            <w:r>
              <w:t>13.5-19.9</w:t>
            </w:r>
          </w:p>
        </w:tc>
        <w:tc>
          <w:tcPr>
            <w:tcW w:type="dxa" w:w="2493"/>
          </w:tcPr>
          <w:p>
            <w:r>
              <w:t>High fall risk</w:t>
            </w:r>
          </w:p>
        </w:tc>
        <w:tc>
          <w:tcPr>
            <w:tcW w:type="dxa" w:w="2493"/>
          </w:tcPr>
          <w:p>
            <w:r>
              <w:t>Physiotherapy + falls-prevention programme; assess walking aid.</w:t>
            </w:r>
          </w:p>
        </w:tc>
        <w:tc>
          <w:tcPr>
            <w:tcW w:type="dxa" w:w="2493"/>
          </w:tcPr>
          <w:p>
            <w:r>
              <w:t>A - Shumway-Cook 2000 (87% sens/spec)</w:t>
            </w:r>
          </w:p>
        </w:tc>
      </w:tr>
      <w:tr>
        <w:tc>
          <w:tcPr>
            <w:tcW w:type="dxa" w:w="2493"/>
          </w:tcPr>
          <w:p>
            <w:r>
              <w:t>&gt;= 20.0</w:t>
            </w:r>
          </w:p>
        </w:tc>
        <w:tc>
          <w:tcPr>
            <w:tcW w:type="dxa" w:w="2493"/>
          </w:tcPr>
          <w:p>
            <w:r>
              <w:t>Severely impaired transfers</w:t>
            </w:r>
          </w:p>
        </w:tc>
        <w:tc>
          <w:tcPr>
            <w:tcW w:type="dxa" w:w="2493"/>
          </w:tcPr>
          <w:p>
            <w:r>
              <w:t>Occupational therapy home/ADL assessment; assistive device for transfers.</w:t>
            </w:r>
          </w:p>
        </w:tc>
        <w:tc>
          <w:tcPr>
            <w:tcW w:type="dxa" w:w="2493"/>
          </w:tcPr>
          <w:p>
            <w:r>
              <w:t>B - Podsiadlo 1991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3.12 days_since_last_fall (0-365, empty if past_falls=0) [ROUTING]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empty / &gt;=365</w:t>
            </w:r>
          </w:p>
        </w:tc>
        <w:tc>
          <w:tcPr>
            <w:tcW w:type="dxa" w:w="2493"/>
          </w:tcPr>
          <w:p>
            <w:r>
              <w:t>No recent fall</w:t>
            </w:r>
          </w:p>
        </w:tc>
        <w:tc>
          <w:tcPr>
            <w:tcW w:type="dxa" w:w="2493"/>
          </w:tcPr>
          <w:p>
            <w:r>
              <w:t>Annual screening.</w:t>
            </w:r>
          </w:p>
        </w:tc>
        <w:tc>
          <w:tcPr>
            <w:tcW w:type="dxa" w:w="2493"/>
          </w:tcPr>
          <w:p>
            <w:r>
              <w:t>A - NICE CG161</w:t>
            </w:r>
          </w:p>
        </w:tc>
      </w:tr>
      <w:tr>
        <w:tc>
          <w:tcPr>
            <w:tcW w:type="dxa" w:w="2493"/>
          </w:tcPr>
          <w:p>
            <w:r>
              <w:t>30-180</w:t>
            </w:r>
          </w:p>
        </w:tc>
        <w:tc>
          <w:tcPr>
            <w:tcW w:type="dxa" w:w="2493"/>
          </w:tcPr>
          <w:p>
            <w:r>
              <w:t>Recent fall (higher-risk window)</w:t>
            </w:r>
          </w:p>
        </w:tc>
        <w:tc>
          <w:tcPr>
            <w:tcW w:type="dxa" w:w="2493"/>
          </w:tcPr>
          <w:p>
            <w:r>
              <w:t>Schedule multifactorial assessment within 1 month.</w:t>
            </w:r>
          </w:p>
        </w:tc>
        <w:tc>
          <w:tcPr>
            <w:tcW w:type="dxa" w:w="2493"/>
          </w:tcPr>
          <w:p>
            <w:r>
              <w:t>A - NICE CG161</w:t>
            </w:r>
          </w:p>
        </w:tc>
      </w:tr>
      <w:tr>
        <w:tc>
          <w:tcPr>
            <w:tcW w:type="dxa" w:w="2493"/>
          </w:tcPr>
          <w:p>
            <w:r>
              <w:t>&lt; 30</w:t>
            </w:r>
          </w:p>
        </w:tc>
        <w:tc>
          <w:tcPr>
            <w:tcW w:type="dxa" w:w="2493"/>
          </w:tcPr>
          <w:p>
            <w:r>
              <w:t>Immediate post-fall window</w:t>
            </w:r>
          </w:p>
        </w:tc>
        <w:tc>
          <w:tcPr>
            <w:tcW w:type="dxa" w:w="2493"/>
          </w:tcPr>
          <w:p>
            <w:r>
              <w:t>Multifactorial assessment within the week; same-day if clustering.</w:t>
            </w:r>
          </w:p>
        </w:tc>
        <w:tc>
          <w:tcPr>
            <w:tcW w:type="dxa" w:w="2493"/>
          </w:tcPr>
          <w:p>
            <w:r>
              <w:t>A - NICE CG161; CDC STEADI 2019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3.13 syncopal_fall (0/1) [ROUTING - NOT balance training]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 loss of consciousness</w:t>
            </w:r>
          </w:p>
        </w:tc>
        <w:tc>
          <w:tcPr>
            <w:tcW w:type="dxa" w:w="2493"/>
          </w:tcPr>
          <w:p>
            <w:r>
              <w:t>Proceed with standard pathway.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Fall with LOC (syncope in 20-30% of ED falls)</w:t>
            </w:r>
          </w:p>
        </w:tc>
        <w:tc>
          <w:tcPr>
            <w:tcW w:type="dxa" w:w="2493"/>
          </w:tcPr>
          <w:p>
            <w:r>
              <w:t>Route to cardiology/syncope clinic: orthostatic BP, 12-lead ECG (Holter if arrhythmia suspected), review antihypertensives/vasodilators.</w:t>
            </w:r>
          </w:p>
        </w:tc>
        <w:tc>
          <w:tcPr>
            <w:tcW w:type="dxa" w:w="2493"/>
          </w:tcPr>
          <w:p>
            <w:r>
              <w:t>B - Pasqualetti 2017; Bloem 2007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3.14 fall_cluster_30d (0/1) [ROUTING - acute trigger]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Value band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Adjustment action</w:t>
            </w:r>
          </w:p>
        </w:tc>
        <w:tc>
          <w:tcPr>
            <w:tcW w:type="dxa" w:w="2493"/>
          </w:tcPr>
          <w:p>
            <w:r>
              <w:t>Evidence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No clustering</w:t>
            </w:r>
          </w:p>
        </w:tc>
        <w:tc>
          <w:tcPr>
            <w:tcW w:type="dxa" w:w="2493"/>
          </w:tcPr>
          <w:p>
            <w:r>
              <w:t>Standard pathway.</w:t>
            </w:r>
          </w:p>
        </w:tc>
        <w:tc>
          <w:tcPr>
            <w:tcW w:type="dxa" w:w="2493"/>
          </w:tcPr>
          <w:p>
            <w:r>
              <w:t>C - tool norm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&gt;=2 falls in 30 days</w:t>
            </w:r>
          </w:p>
        </w:tc>
        <w:tc>
          <w:tcPr>
            <w:tcW w:type="dxa" w:w="2493"/>
          </w:tcPr>
          <w:p>
            <w:r>
              <w:t>Investigate acute trigger: newly started medication, acute infection, hypoglycaemia, acute vertigo (BPPV -&gt; Epley). Urgent review if cause unclear in 48 h.</w:t>
            </w:r>
          </w:p>
        </w:tc>
        <w:tc>
          <w:tcPr>
            <w:tcW w:type="dxa" w:w="2493"/>
          </w:tcPr>
          <w:p>
            <w:r>
              <w:t>B - Pasqualetti 2017; Jehu 2021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4. Cross-Cutting Interventions (apply across most features)</w:t>
      </w:r>
    </w:p>
    <w:p>
      <w:r>
        <w:rPr>
          <w:rFonts w:ascii="Calibri" w:hAnsi="Calibri"/>
          <w:b w:val="0"/>
          <w:i w:val="0"/>
          <w:sz w:val="22"/>
        </w:rPr>
        <w:t>Exercise: balance + strength &gt;3 h/wk cuts falls 39% (Sherrington 2017, A).</w:t>
      </w:r>
    </w:p>
    <w:p>
      <w:r>
        <w:rPr>
          <w:rFonts w:ascii="Calibri" w:hAnsi="Calibri"/>
          <w:b w:val="0"/>
          <w:i w:val="0"/>
          <w:sz w:val="22"/>
        </w:rPr>
        <w:t>Home hazard reduction: declutter, lighting, stair rails, non-slip strips cut falls 26% (Clemson 2023, A).</w:t>
      </w:r>
    </w:p>
    <w:p>
      <w:r>
        <w:rPr>
          <w:rFonts w:ascii="Calibri" w:hAnsi="Calibri"/>
          <w:b w:val="0"/>
          <w:i w:val="0"/>
          <w:sz w:val="22"/>
        </w:rPr>
        <w:t>Multifactorial assessment: any fall triggers the full bundle (Gillespie 2012, A).</w:t>
      </w:r>
    </w:p>
    <w:p>
      <w:r>
        <w:rPr>
          <w:rFonts w:ascii="Calibri" w:hAnsi="Calibri"/>
          <w:b w:val="0"/>
          <w:i w:val="0"/>
          <w:sz w:val="22"/>
        </w:rPr>
        <w:t>Vitamin D: supplement only if deficient (&lt;20 ng/mL), 800-1000 IU/day (Gillespie 2012, B).</w:t>
      </w:r>
    </w:p>
    <w:p>
      <w:r>
        <w:rPr>
          <w:rFonts w:ascii="Calibri" w:hAnsi="Calibri"/>
          <w:b w:val="0"/>
          <w:i w:val="0"/>
          <w:sz w:val="22"/>
        </w:rPr>
        <w:t>Footwear: high-collar, firm-sole, slip-resistant, lace/Velcro (Menz 2019, B).</w:t>
      </w:r>
    </w:p>
    <w:p>
      <w:r>
        <w:rPr>
          <w:rFonts w:ascii="Calibri" w:hAnsi="Calibri"/>
          <w:b w:val="0"/>
          <w:i w:val="0"/>
          <w:sz w:val="22"/>
        </w:rPr>
        <w:t>Vision: annual exam; first-eye cataract surgery cut falls 34% in women (Gillespie 2012, A).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References</w:t>
      </w:r>
    </w:p>
    <w:p>
      <w:pPr>
        <w:ind w:hanging="454" w:left="454"/>
      </w:pPr>
      <w:r>
        <w:rPr>
          <w:b/>
          <w:sz w:val="21"/>
        </w:rPr>
        <w:t xml:space="preserve">1. </w:t>
      </w:r>
      <w:r>
        <w:rPr>
          <w:sz w:val="21"/>
        </w:rPr>
        <w:t>American Geriatrics Society Beers Criteria Update Expert Panel. (2023). AGS Beers Criteria 2023. Journal of the American Geriatrics Society, 71(7), 2052-2081.</w:t>
      </w:r>
    </w:p>
    <w:p>
      <w:pPr>
        <w:ind w:hanging="454" w:left="454"/>
      </w:pPr>
      <w:r>
        <w:rPr>
          <w:b/>
          <w:sz w:val="21"/>
        </w:rPr>
        <w:t xml:space="preserve">2. </w:t>
      </w:r>
      <w:r>
        <w:rPr>
          <w:sz w:val="21"/>
        </w:rPr>
        <w:t>Barry, E., et al. (2014). Is the Timed Up and Go test a useful predictor of risk of falls in community dwelling older adults: a systematic review and meta-analysis. BMC Geriatrics, 14, 14.</w:t>
      </w:r>
    </w:p>
    <w:p>
      <w:pPr>
        <w:ind w:hanging="454" w:left="454"/>
      </w:pPr>
      <w:r>
        <w:rPr>
          <w:b/>
          <w:sz w:val="21"/>
        </w:rPr>
        <w:t xml:space="preserve">3. </w:t>
      </w:r>
      <w:r>
        <w:rPr>
          <w:sz w:val="21"/>
        </w:rPr>
        <w:t>Bloem, B. R., Overeem, S., &amp; van Dijk, J. G. (2007). Syncopal falls, drop attacks and their mimics. In: Clinical Disorders of Balance, Posture and Gait (2nd ed.). London: Arnold.</w:t>
      </w:r>
    </w:p>
    <w:p>
      <w:pPr>
        <w:ind w:hanging="454" w:left="454"/>
      </w:pPr>
      <w:r>
        <w:rPr>
          <w:b/>
          <w:sz w:val="21"/>
        </w:rPr>
        <w:t xml:space="preserve">4. </w:t>
      </w:r>
      <w:r>
        <w:rPr>
          <w:sz w:val="21"/>
        </w:rPr>
        <w:t>Bohannon, R. W. (2006). Reference values for the Timed Up and Go Test. Journal of Geriatric Physical Therapy, 29(2), 64-68.</w:t>
      </w:r>
    </w:p>
    <w:p>
      <w:pPr>
        <w:ind w:hanging="454" w:left="454"/>
      </w:pPr>
      <w:r>
        <w:rPr>
          <w:b/>
          <w:sz w:val="21"/>
        </w:rPr>
        <w:t xml:space="preserve">5. </w:t>
      </w:r>
      <w:r>
        <w:rPr>
          <w:sz w:val="21"/>
        </w:rPr>
        <w:t>Centers for Disease Control and Prevention. (2019). Algorithm for Fall Risk Screening, Assessment, and Intervention. Atlanta (GA): NCIPC.</w:t>
      </w:r>
    </w:p>
    <w:p>
      <w:pPr>
        <w:ind w:hanging="454" w:left="454"/>
      </w:pPr>
      <w:r>
        <w:rPr>
          <w:b/>
          <w:sz w:val="21"/>
        </w:rPr>
        <w:t xml:space="preserve">6. </w:t>
      </w:r>
      <w:r>
        <w:rPr>
          <w:sz w:val="21"/>
        </w:rPr>
        <w:t>Clemson, L., et al. (2023). Environmental interventions for preventing falls in older people living in the community. Cochrane Database of Systematic Reviews, 1, CD013258.</w:t>
      </w:r>
    </w:p>
    <w:p>
      <w:pPr>
        <w:ind w:hanging="454" w:left="454"/>
      </w:pPr>
      <w:r>
        <w:rPr>
          <w:b/>
          <w:sz w:val="21"/>
        </w:rPr>
        <w:t xml:space="preserve">7. </w:t>
      </w:r>
      <w:r>
        <w:rPr>
          <w:sz w:val="21"/>
        </w:rPr>
        <w:t>Dhalwani, N. N., et al. (2017). Association between polypharmacy and falls in older adults: a longitudinal study from England. BMJ Open, 7(10), e016358.</w:t>
      </w:r>
    </w:p>
    <w:p>
      <w:pPr>
        <w:ind w:hanging="454" w:left="454"/>
      </w:pPr>
      <w:r>
        <w:rPr>
          <w:b/>
          <w:sz w:val="21"/>
        </w:rPr>
        <w:t xml:space="preserve">8. </w:t>
      </w:r>
      <w:r>
        <w:rPr>
          <w:sz w:val="21"/>
        </w:rPr>
        <w:t>Dynseo. (2026). Nighttime falls in nursing homes: why they happen and how to prevent them. Dynseo White Paper.</w:t>
      </w:r>
    </w:p>
    <w:p>
      <w:pPr>
        <w:ind w:hanging="454" w:left="454"/>
      </w:pPr>
      <w:r>
        <w:rPr>
          <w:b/>
          <w:sz w:val="21"/>
        </w:rPr>
        <w:t xml:space="preserve">9. </w:t>
      </w:r>
      <w:r>
        <w:rPr>
          <w:sz w:val="21"/>
        </w:rPr>
        <w:t>Freeman, R., et al. (2011). Consensus statement on the definition of orthostatic hypotension. Clinical Autonomic Research, 21(2), 69-72.</w:t>
      </w:r>
    </w:p>
    <w:p>
      <w:pPr>
        <w:ind w:hanging="454" w:left="454"/>
      </w:pPr>
      <w:r>
        <w:rPr>
          <w:b/>
          <w:sz w:val="21"/>
        </w:rPr>
        <w:t xml:space="preserve">10. </w:t>
      </w:r>
      <w:r>
        <w:rPr>
          <w:sz w:val="21"/>
        </w:rPr>
        <w:t>Gates, S., et al. (2008). Systematic review of accuracy of screening instruments for identifying fallers in community-dwelling elderly. Journal of Clinical Epidemiology, 61(6), 544-556.</w:t>
      </w:r>
    </w:p>
    <w:p>
      <w:pPr>
        <w:ind w:hanging="454" w:left="454"/>
      </w:pPr>
      <w:r>
        <w:rPr>
          <w:b/>
          <w:sz w:val="21"/>
        </w:rPr>
        <w:t xml:space="preserve">11. </w:t>
      </w:r>
      <w:r>
        <w:rPr>
          <w:sz w:val="21"/>
        </w:rPr>
        <w:t>Gillespie, L. D., et al. (2012). Interventions for preventing falls in older people living in the community. Cochrane Database of Systematic Reviews, 9, CD007146.</w:t>
      </w:r>
    </w:p>
    <w:p>
      <w:pPr>
        <w:ind w:hanging="454" w:left="454"/>
      </w:pPr>
      <w:r>
        <w:rPr>
          <w:b/>
          <w:sz w:val="21"/>
        </w:rPr>
        <w:t xml:space="preserve">12. </w:t>
      </w:r>
      <w:r>
        <w:rPr>
          <w:sz w:val="21"/>
        </w:rPr>
        <w:t>Jehu, D. A., et al. (2021). Risk factors for recurrent falls in older adults: a systematic review with meta-analysis. Maturitas, 144, 23-28.</w:t>
      </w:r>
    </w:p>
    <w:p>
      <w:pPr>
        <w:ind w:hanging="454" w:left="454"/>
      </w:pPr>
      <w:r>
        <w:rPr>
          <w:b/>
          <w:sz w:val="21"/>
        </w:rPr>
        <w:t xml:space="preserve">13. </w:t>
      </w:r>
      <w:r>
        <w:rPr>
          <w:sz w:val="21"/>
        </w:rPr>
        <w:t>Kim, S. Y., et al. (2017). Nocturia is associated with slipping and falling. PLoS ONE, 12(1), e0169690.</w:t>
      </w:r>
    </w:p>
    <w:p>
      <w:pPr>
        <w:ind w:hanging="454" w:left="454"/>
      </w:pPr>
      <w:r>
        <w:rPr>
          <w:b/>
          <w:sz w:val="21"/>
        </w:rPr>
        <w:t xml:space="preserve">14. </w:t>
      </w:r>
      <w:r>
        <w:rPr>
          <w:sz w:val="21"/>
        </w:rPr>
        <w:t>Lipardo, D. S., et al. (2017). Effect of exercise and cognitive training on falls and fall-related factors in older adults with mild cognitive impairment. Archives of Physical Medicine and Rehabilitation, 98(10), 2079-2096.</w:t>
      </w:r>
    </w:p>
    <w:p>
      <w:pPr>
        <w:ind w:hanging="454" w:left="454"/>
      </w:pPr>
      <w:r>
        <w:rPr>
          <w:b/>
          <w:sz w:val="21"/>
        </w:rPr>
        <w:t xml:space="preserve">15. </w:t>
      </w:r>
      <w:r>
        <w:rPr>
          <w:sz w:val="21"/>
        </w:rPr>
        <w:t>Menz, H. B. (2019). Podiatry interventions to prevent falls in older people: a systematic review and meta-analysis. Age and Ageing, 48(3), 327-336.</w:t>
      </w:r>
    </w:p>
    <w:p>
      <w:pPr>
        <w:ind w:hanging="454" w:left="454"/>
      </w:pPr>
      <w:r>
        <w:rPr>
          <w:b/>
          <w:sz w:val="21"/>
        </w:rPr>
        <w:t xml:space="preserve">16. </w:t>
      </w:r>
      <w:r>
        <w:rPr>
          <w:sz w:val="21"/>
        </w:rPr>
        <w:t>National Institute for Health and Care Excellence. (2013). Falls in older people: assessing risk and prevention. Clinical Guideline CG161. London: NICE.</w:t>
      </w:r>
    </w:p>
    <w:p>
      <w:pPr>
        <w:ind w:hanging="454" w:left="454"/>
      </w:pPr>
      <w:r>
        <w:rPr>
          <w:b/>
          <w:sz w:val="21"/>
        </w:rPr>
        <w:t xml:space="preserve">17. </w:t>
      </w:r>
      <w:r>
        <w:rPr>
          <w:sz w:val="21"/>
        </w:rPr>
        <w:t>O'Mahony, D., et al. (2023). STOPP/START criteria version 3. European Geriatric Medicine.</w:t>
      </w:r>
    </w:p>
    <w:p>
      <w:pPr>
        <w:ind w:hanging="454" w:left="454"/>
      </w:pPr>
      <w:r>
        <w:rPr>
          <w:b/>
          <w:sz w:val="21"/>
        </w:rPr>
        <w:t xml:space="preserve">18. </w:t>
      </w:r>
      <w:r>
        <w:rPr>
          <w:sz w:val="21"/>
        </w:rPr>
        <w:t>Pasqualetti, G., et al. (2017). Clinical differences among the elderly admitted to the emergency department for accidental or unexplained falls and syncope. Clinical Interventions in Aging, 12, 1935-1942.</w:t>
      </w:r>
    </w:p>
    <w:p>
      <w:pPr>
        <w:ind w:hanging="454" w:left="454"/>
      </w:pPr>
      <w:r>
        <w:rPr>
          <w:b/>
          <w:sz w:val="21"/>
        </w:rPr>
        <w:t xml:space="preserve">19. </w:t>
      </w:r>
      <w:r>
        <w:rPr>
          <w:sz w:val="21"/>
        </w:rPr>
        <w:t>Pichierri, G., et al. (2021). Efficacy of exercise-based interventions in preventing falls among community-dwelling older persons with cognitive impairment. Aging Clinical and Experimental Research, 33, 2481-2495.</w:t>
      </w:r>
    </w:p>
    <w:p>
      <w:pPr>
        <w:ind w:hanging="454" w:left="454"/>
      </w:pPr>
      <w:r>
        <w:rPr>
          <w:b/>
          <w:sz w:val="21"/>
        </w:rPr>
        <w:t xml:space="preserve">20. </w:t>
      </w:r>
      <w:r>
        <w:rPr>
          <w:sz w:val="21"/>
        </w:rPr>
        <w:t>Podsiadlo, D., &amp; Richardson, S. (1991). The Timed Up &amp; Go: a test of basic functional mobility for frail elderly persons. Journal of the American Geriatrics Society, 39(2), 142-148.</w:t>
      </w:r>
    </w:p>
    <w:p>
      <w:pPr>
        <w:ind w:hanging="454" w:left="454"/>
      </w:pPr>
      <w:r>
        <w:rPr>
          <w:b/>
          <w:sz w:val="21"/>
        </w:rPr>
        <w:t xml:space="preserve">21. </w:t>
      </w:r>
      <w:r>
        <w:rPr>
          <w:sz w:val="21"/>
        </w:rPr>
        <w:t>Sherrington, C., et al. (2017). Exercise to prevent falls in older adults: an updated systematic review and meta-analysis. British Journal of Sports Medicine, 51(24), 1750-1758.</w:t>
      </w:r>
    </w:p>
    <w:p>
      <w:pPr>
        <w:ind w:hanging="454" w:left="454"/>
      </w:pPr>
      <w:r>
        <w:rPr>
          <w:b/>
          <w:sz w:val="21"/>
        </w:rPr>
        <w:t xml:space="preserve">22. </w:t>
      </w:r>
      <w:r>
        <w:rPr>
          <w:sz w:val="21"/>
        </w:rPr>
        <w:t>Shumway-Cook, A., Brauer, S., &amp; Woollacott, M. (2000). Predicting the probability for falls in community-dwelling older adults using the Timed Up &amp; Go Test. Physical Therapy, 80(9), 896-903.</w:t>
      </w:r>
    </w:p>
    <w:p>
      <w:pPr>
        <w:ind w:hanging="454" w:left="454"/>
      </w:pPr>
      <w:r>
        <w:rPr>
          <w:b/>
          <w:sz w:val="21"/>
        </w:rPr>
        <w:t xml:space="preserve">23. </w:t>
      </w:r>
      <w:r>
        <w:rPr>
          <w:sz w:val="21"/>
        </w:rPr>
        <w:t>Stone, K. L., et al. (2008). Actigraphy-measured sleep characteristics and risk of falls in older women. Archives of Internal Medicine, 168(16), 1768-1775.</w:t>
      </w:r>
    </w:p>
    <w:p>
      <w:pPr>
        <w:ind w:hanging="454" w:left="454"/>
      </w:pPr>
      <w:r>
        <w:rPr>
          <w:b/>
          <w:sz w:val="21"/>
        </w:rPr>
        <w:t xml:space="preserve">24. </w:t>
      </w:r>
      <w:r>
        <w:rPr>
          <w:sz w:val="21"/>
        </w:rPr>
        <w:t>World Health Organization. (2021). Falls. Fact Sheet. Geneva: WHO.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