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2CBE" w14:textId="7D1B688D" w:rsidR="00D1303D" w:rsidRDefault="00000000">
      <w:pPr>
        <w:pStyle w:val="Title"/>
      </w:pPr>
      <w:r>
        <w:t>Telecom Call Centre Dashboard Analytical Report</w:t>
      </w:r>
    </w:p>
    <w:p w14:paraId="2B2B2E1B" w14:textId="77777777" w:rsidR="00D1303D" w:rsidRPr="007B28C4" w:rsidRDefault="00000000">
      <w:pPr>
        <w:pStyle w:val="Heading1"/>
        <w:rPr>
          <w:b w:val="0"/>
          <w:bCs w:val="0"/>
          <w:color w:val="auto"/>
        </w:rPr>
      </w:pPr>
      <w:r w:rsidRPr="007B28C4">
        <w:rPr>
          <w:b w:val="0"/>
          <w:bCs w:val="0"/>
          <w:color w:val="auto"/>
        </w:rPr>
        <w:t>Executive Summary</w:t>
      </w:r>
    </w:p>
    <w:p w14:paraId="32949248" w14:textId="77777777" w:rsidR="00D1303D" w:rsidRDefault="00000000">
      <w:r>
        <w:t>This dashboard analyzes FY2024 call centre performance for a telecommunications company. The dataset contains 219,816 total calls, of which 203,161 were answered, resulting in a 92.4% answer rate and a 7.6% abandonment rate. The call centre generated MWK 137.0 million in revenue while maintaining strong customer service metrics.</w:t>
      </w:r>
    </w:p>
    <w:p w14:paraId="08BCB125" w14:textId="77777777" w:rsidR="00D1303D" w:rsidRPr="007B28C4" w:rsidRDefault="00000000">
      <w:pPr>
        <w:pStyle w:val="Heading1"/>
        <w:rPr>
          <w:b w:val="0"/>
          <w:bCs w:val="0"/>
          <w:color w:val="auto"/>
        </w:rPr>
      </w:pPr>
      <w:r w:rsidRPr="007B28C4">
        <w:rPr>
          <w:b w:val="0"/>
          <w:bCs w:val="0"/>
          <w:color w:val="auto"/>
        </w:rPr>
        <w:t>Key Performance Indicators</w:t>
      </w:r>
    </w:p>
    <w:p w14:paraId="49E49BE0" w14:textId="77777777" w:rsidR="00D1303D" w:rsidRDefault="00000000">
      <w:r>
        <w:t>• Total Calls: 219,816</w:t>
      </w:r>
      <w:r>
        <w:br/>
        <w:t>• Calls Answered: 203,161</w:t>
      </w:r>
      <w:r>
        <w:br/>
        <w:t>• Call Answer Rate: 92.4%</w:t>
      </w:r>
      <w:r>
        <w:br/>
        <w:t>• Calls Abandoned: 16,655</w:t>
      </w:r>
      <w:r>
        <w:br/>
        <w:t>• Abandonment Rate: 7.6%</w:t>
      </w:r>
      <w:r>
        <w:br/>
        <w:t>• Average Handle Time (AHT): 264.8 seconds</w:t>
      </w:r>
      <w:r>
        <w:br/>
        <w:t>• Average Speed of Answer (ASA): 58.5 seconds</w:t>
      </w:r>
      <w:r>
        <w:br/>
        <w:t>• First Call Resolution (FCR): 76.4%</w:t>
      </w:r>
      <w:r>
        <w:br/>
        <w:t>• Customer Satisfaction (CSAT): 4.08/5</w:t>
      </w:r>
      <w:r>
        <w:br/>
        <w:t>• Service Level Agreement (SLA): 82.1%</w:t>
      </w:r>
      <w:r>
        <w:br/>
        <w:t>• Agent Occupancy: 83.3%</w:t>
      </w:r>
      <w:r>
        <w:br/>
        <w:t>• Escalations: 2,149</w:t>
      </w:r>
      <w:r>
        <w:br/>
        <w:t>• Complaints: 1,274</w:t>
      </w:r>
      <w:r>
        <w:br/>
        <w:t>• Total Revenue: MWK 137,043,469</w:t>
      </w:r>
    </w:p>
    <w:p w14:paraId="623CCC7F" w14:textId="77777777" w:rsidR="00D1303D" w:rsidRPr="007B28C4" w:rsidRDefault="00000000">
      <w:pPr>
        <w:pStyle w:val="Heading1"/>
        <w:rPr>
          <w:b w:val="0"/>
          <w:bCs w:val="0"/>
          <w:color w:val="auto"/>
        </w:rPr>
      </w:pPr>
      <w:r w:rsidRPr="007B28C4">
        <w:rPr>
          <w:b w:val="0"/>
          <w:bCs w:val="0"/>
          <w:color w:val="auto"/>
        </w:rPr>
        <w:t>Key Insights</w:t>
      </w:r>
    </w:p>
    <w:p w14:paraId="517E0219" w14:textId="77777777" w:rsidR="00D1303D" w:rsidRDefault="00000000">
      <w:r>
        <w:t>1. The call centre maintained a strong answer rate above 92%, indicating effective workforce planning.</w:t>
      </w:r>
      <w:r>
        <w:br/>
        <w:t>2. Customer satisfaction averaged 4.08 out of 5, demonstrating generally positive customer experiences.</w:t>
      </w:r>
      <w:r>
        <w:br/>
        <w:t>3. First Call Resolution averaged 76.4%, suggesting most customer issues were resolved during the first interaction.</w:t>
      </w:r>
      <w:r>
        <w:br/>
        <w:t>4. Average agent occupancy of 83.3% indicates efficient resource utilization.</w:t>
      </w:r>
      <w:r>
        <w:br/>
        <w:t>5. September 2024 recorded the highest revenue at MWK 13.84 million.</w:t>
      </w:r>
      <w:r>
        <w:br/>
        <w:t>6. November 2024 recorded the highest call volume with 20,406 calls.</w:t>
      </w:r>
      <w:r>
        <w:br/>
        <w:t>7. The relatively low complaint volume compared to total calls suggests good service quality.</w:t>
      </w:r>
      <w:r>
        <w:br/>
      </w:r>
      <w:r>
        <w:lastRenderedPageBreak/>
        <w:t>8. Escalations represented a small proportion of handled calls, indicating effective frontline resolution.</w:t>
      </w:r>
    </w:p>
    <w:p w14:paraId="6A234A61" w14:textId="77777777" w:rsidR="00D1303D" w:rsidRPr="007B28C4" w:rsidRDefault="00000000">
      <w:pPr>
        <w:pStyle w:val="Heading1"/>
        <w:rPr>
          <w:b w:val="0"/>
          <w:bCs w:val="0"/>
          <w:color w:val="auto"/>
        </w:rPr>
      </w:pPr>
      <w:r w:rsidRPr="007B28C4">
        <w:rPr>
          <w:b w:val="0"/>
          <w:bCs w:val="0"/>
          <w:color w:val="auto"/>
        </w:rPr>
        <w:t>Business Value</w:t>
      </w:r>
    </w:p>
    <w:p w14:paraId="66E94826" w14:textId="77777777" w:rsidR="00D1303D" w:rsidRDefault="00000000">
      <w:r>
        <w:t>The dashboard enables telecom managers to monitor operational efficiency, customer experience, workforce productivity, and revenue performance. It supports data-driven decisions related to staffing, service quality improvement, and customer retention.</w:t>
      </w:r>
    </w:p>
    <w:sectPr w:rsidR="00D130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237708">
    <w:abstractNumId w:val="8"/>
  </w:num>
  <w:num w:numId="2" w16cid:durableId="98844413">
    <w:abstractNumId w:val="6"/>
  </w:num>
  <w:num w:numId="3" w16cid:durableId="223373791">
    <w:abstractNumId w:val="5"/>
  </w:num>
  <w:num w:numId="4" w16cid:durableId="1197506204">
    <w:abstractNumId w:val="4"/>
  </w:num>
  <w:num w:numId="5" w16cid:durableId="320349625">
    <w:abstractNumId w:val="7"/>
  </w:num>
  <w:num w:numId="6" w16cid:durableId="338846614">
    <w:abstractNumId w:val="3"/>
  </w:num>
  <w:num w:numId="7" w16cid:durableId="2121533967">
    <w:abstractNumId w:val="2"/>
  </w:num>
  <w:num w:numId="8" w16cid:durableId="1546789348">
    <w:abstractNumId w:val="1"/>
  </w:num>
  <w:num w:numId="9" w16cid:durableId="154995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70D"/>
    <w:rsid w:val="007B28C4"/>
    <w:rsid w:val="00AA1D8D"/>
    <w:rsid w:val="00B47730"/>
    <w:rsid w:val="00CB0664"/>
    <w:rsid w:val="00D13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33E3B"/>
  <w14:defaultImageDpi w14:val="300"/>
  <w15:docId w15:val="{38A9100E-6705-47DC-B279-7C135E89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</cp:lastModifiedBy>
  <cp:revision>2</cp:revision>
  <dcterms:created xsi:type="dcterms:W3CDTF">2013-12-23T23:15:00Z</dcterms:created>
  <dcterms:modified xsi:type="dcterms:W3CDTF">2026-06-15T13:34:00Z</dcterms:modified>
  <cp:category/>
</cp:coreProperties>
</file>