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26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Proyecto RDA1: Detección de Phishing en URLs con Machine Learning</w:t>
      </w:r>
    </w:p>
    <w:p>
      <w:pPr>
        <w:spacing w:after="48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Alejandro Flores, Paúl Rosero y Gloria Chushig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Inteligencia Artificial</w:t>
      </w:r>
    </w:p>
    <w:p>
      <w:pPr>
        <w:spacing w:after="0" w:before="240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 de octubre de 2026</w:t>
      </w:r>
    </w:p>
    <w:p>
      <w:r>
        <w:br w:type="page"/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Introducción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phishing es uno de los ataques informáticos más frecuentes: el atacante envía un enlace que imita a una entidad legítima (un banco, una red social, un servicio de pagos) para robar credenciales o datos financieros.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proyecto desarrolla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PhishGuard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un sistema que clasifica una URL como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benigna (0)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phishing (1)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partir únicamente de sus características léxicas y estructurales, sin visitar la página. Se entrenaron y compararon cuatro modelos supervisados de scikit-learn (Regresión Logística, SVM lineal, SVM con kernel polinómico y SVM con kernel gaussiano) y el ganador se desplegó en una aplicación web con Streamlit que entrega la probabilidad de phishing de 0 a 100 %.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Datos y análisis exploratorio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utilizó el dataset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Phishing URL Detection (111K URLs, 22 Features)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Kaggle: 116.600 URLs con 22 variables numéricas ya calculadas (longitudes, conteos de caracteres, proporciones, entropía, uso de HTTPS e IP) y la etiqueta </w:t>
      </w:r>
      <w:r>
        <w:rPr>
          <w:rFonts w:ascii="Courier New" w:cs="Courier New" w:eastAsia="Courier New" w:hAnsi="Courier New"/>
          <w:sz w:val="21"/>
          <w:szCs w:val="21"/>
        </w:rPr>
        <w:t xml:space="preserve">label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Durante la limpieza se tomaron dos decisiones: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Nulos: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solo 14 valores faltantes en </w:t>
      </w:r>
      <w:r>
        <w:rPr>
          <w:rFonts w:ascii="Courier New" w:cs="Courier New" w:eastAsia="Courier New" w:hAnsi="Courier New"/>
          <w:sz w:val="21"/>
          <w:szCs w:val="21"/>
        </w:rPr>
        <w:t xml:space="preserve">tld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todos de URLs que son una IP pura (no tienen dominio de nivel superior). Se imputaron como </w:t>
      </w:r>
      <w:r>
        <w:rPr>
          <w:rFonts w:ascii="Courier New" w:cs="Courier New" w:eastAsia="Courier New" w:hAnsi="Courier New"/>
          <w:sz w:val="21"/>
          <w:szCs w:val="21"/>
        </w:rPr>
        <w:t xml:space="preserve">none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Courier New" w:cs="Courier New" w:eastAsia="Courier New" w:hAnsi="Courier New"/>
          <w:sz w:val="21"/>
          <w:szCs w:val="21"/>
        </w:rPr>
        <w:t xml:space="preserve">tld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texto y no entra al modelo.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Duplicados: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1.369 URLs repetidas, todas con la misma etiqueta. Se eliminaron para que una misma URL no aparezca en entrenamiento y prueba a la vez (fuga de datos). Quedaron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115.231 URLs únicas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clase está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desbalanceada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(85,6 % benignas y 14,4 % phishing), lo que refleja la realidad de la web. Por eso la división 80/20 se hizo con </w:t>
      </w:r>
      <w:r>
        <w:rPr>
          <w:rFonts w:ascii="Courier New" w:cs="Courier New" w:eastAsia="Courier New" w:hAnsi="Courier New"/>
          <w:sz w:val="21"/>
          <w:szCs w:val="21"/>
        </w:rPr>
        <w:t xml:space="preserve">stratify=y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los modelos usan </w:t>
      </w:r>
      <w:r>
        <w:rPr>
          <w:rFonts w:ascii="Courier New" w:cs="Courier New" w:eastAsia="Courier New" w:hAnsi="Courier New"/>
          <w:sz w:val="21"/>
          <w:szCs w:val="21"/>
        </w:rPr>
        <w:t xml:space="preserve">class_weight="balanced"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evaluación prioriza Recall, Precision, F1 y AUC de la clase phishing en lugar del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Accuracy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variables más correlacionadas con phishing son </w:t>
      </w:r>
      <w:r>
        <w:rPr>
          <w:rFonts w:ascii="Courier New" w:cs="Courier New" w:eastAsia="Courier New" w:hAnsi="Courier New"/>
          <w:sz w:val="21"/>
          <w:szCs w:val="21"/>
        </w:rPr>
        <w:t xml:space="preserve">digit_ratio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 = 0,52), </w:t>
      </w:r>
      <w:r>
        <w:rPr>
          <w:rFonts w:ascii="Courier New" w:cs="Courier New" w:eastAsia="Courier New" w:hAnsi="Courier New"/>
          <w:sz w:val="21"/>
          <w:szCs w:val="21"/>
        </w:rPr>
        <w:t xml:space="preserve">entropy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(0,51) e </w:t>
      </w:r>
      <w:r>
        <w:rPr>
          <w:rFonts w:ascii="Courier New" w:cs="Courier New" w:eastAsia="Courier New" w:hAnsi="Courier New"/>
          <w:sz w:val="21"/>
          <w:szCs w:val="21"/>
        </w:rPr>
        <w:t xml:space="preserve">is_https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(0,40): el 91 % de las URLs de phishing usa HTTPS frente al 35 % de las benignas, por lo que el candado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garantía de legitimidad.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1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Distribución de clases (izquierda) y proporción de dígitos por clase (derecha)</w:t>
      </w:r>
    </w:p>
    <w:p>
      <w:pPr>
        <w:keepNext/>
        <w:spacing w:after="40"/>
        <w:jc w:val="center"/>
      </w:pPr>
      <w:r>
        <w:drawing>
          <wp:inline distT="0" distB="0" distL="0" distR="0">
            <wp:extent cx="1943100" cy="135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</w:t>
      </w:r>
      <w:r>
        <w:drawing>
          <wp:inline distT="0" distB="0" distL="0" distR="0">
            <wp:extent cx="2047875" cy="121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Arquitectura de la solución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código está organizado en módulos compartidos (</w:t>
      </w:r>
      <w:r>
        <w:rPr>
          <w:rFonts w:ascii="Courier New" w:cs="Courier New" w:eastAsia="Courier New" w:hAnsi="Courier New"/>
          <w:sz w:val="21"/>
          <w:szCs w:val="21"/>
        </w:rPr>
        <w:t xml:space="preserve">src/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que usan por igual los notebooks, los scripts y la aplicación, de modo que los cuatro modelos se entrenan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 misma partición y el mismo preprocesamiento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Cada modelo es un </w:t>
      </w:r>
      <w:r>
        <w:rPr>
          <w:rFonts w:ascii="Courier New" w:cs="Courier New" w:eastAsia="Courier New" w:hAnsi="Courier New"/>
          <w:sz w:val="21"/>
          <w:szCs w:val="21"/>
        </w:rPr>
        <w:t xml:space="preserve">Pipeline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scikit-learn (un </w:t>
      </w:r>
      <w:r>
        <w:rPr>
          <w:rFonts w:ascii="Courier New" w:cs="Courier New" w:eastAsia="Courier New" w:hAnsi="Courier New"/>
          <w:sz w:val="21"/>
          <w:szCs w:val="21"/>
        </w:rPr>
        <w:t xml:space="preserve">ColumnTransformer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</w:t>
      </w:r>
      <w:r>
        <w:rPr>
          <w:rFonts w:ascii="Courier New" w:cs="Courier New" w:eastAsia="Courier New" w:hAnsi="Courier New"/>
          <w:sz w:val="21"/>
          <w:szCs w:val="21"/>
        </w:rPr>
        <w:t xml:space="preserve">StandardScaler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necesario porque los cuatro modelos son sensibles a la escala, seguido del clasificador), lo que evita fuga de información al escalar. El pipeline se exporta con </w:t>
      </w:r>
      <w:r>
        <w:rPr>
          <w:rFonts w:ascii="Courier New" w:cs="Courier New" w:eastAsia="Courier New" w:hAnsi="Courier New"/>
          <w:sz w:val="21"/>
          <w:szCs w:val="21"/>
        </w:rPr>
        <w:t xml:space="preserve">joblib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app lo carga para inferencia.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pieza crítica es </w:t>
      </w:r>
      <w:r>
        <w:rPr>
          <w:rFonts w:ascii="Courier New" w:cs="Courier New" w:eastAsia="Courier New" w:hAnsi="Courier New"/>
          <w:sz w:val="21"/>
          <w:szCs w:val="21"/>
        </w:rPr>
        <w:t xml:space="preserve">extractor.py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convierte la URL escrita por el usuario en las mismas 22 variables del dataset. Se validó comparando sus cálculos con los valores del dataset en 2.000 URLs al azar: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 de 22 variables coinciden exactamente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Para separar dominio, sufijo y subdominios (p. ej. </w:t>
      </w:r>
      <w:r>
        <w:rPr>
          <w:rFonts w:ascii="Courier New" w:cs="Courier New" w:eastAsia="Courier New" w:hAnsi="Courier New"/>
          <w:sz w:val="21"/>
          <w:szCs w:val="21"/>
        </w:rPr>
        <w:t xml:space="preserve">espe.edu.ec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se usa la librería </w:t>
      </w:r>
      <w:r>
        <w:rPr>
          <w:rFonts w:ascii="Courier New" w:cs="Courier New" w:eastAsia="Courier New" w:hAnsi="Courier New"/>
          <w:sz w:val="21"/>
          <w:szCs w:val="21"/>
        </w:rPr>
        <w:t xml:space="preserve">tldextract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2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Arquitectura de PhishGuard: entrenamiento e inferencia</w:t>
      </w:r>
    </w:p>
    <w:p>
      <w:pPr>
        <w:keepNext/>
        <w:spacing w:after="120"/>
        <w:jc w:val="center"/>
      </w:pPr>
      <w:r>
        <w:drawing>
          <wp:inline distT="0" distB="0" distL="0" distR="0">
            <wp:extent cx="44958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Modelado, comparación y selección del modelo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entrenaron cuatro modelos con 92.184 URLs (80 %) y se evaluaron con 23.047 URLs de prueba (20 %, de las cuales 3.318 son phishing). La Tabla 1 resume sus configuraciones y la Tabla 2 sus resultados.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1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Configuración de los modelos</w:t>
      </w:r>
    </w:p>
    <w:tbl>
      <w:tblPr>
        <w:tblW w:type="dxa" w:w="851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610"/>
        <w:gridCol w:w="1400"/>
      </w:tblGrid>
      <w:tr>
        <w:trPr>
          <w:tblHeader/>
        </w:trPr>
        <w:tc>
          <w:tcPr>
            <w:tcW w:type="dxa" w:w="25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Modelo (responsable)</w:t>
            </w:r>
          </w:p>
        </w:tc>
        <w:tc>
          <w:tcPr>
            <w:tcW w:type="dxa" w:w="461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Configuración principal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Probabilidad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Regresión Logística (Paúl Rosero)</w:t>
            </w:r>
          </w:p>
        </w:tc>
        <w:tc>
          <w:tcPr>
            <w:tcW w:type="dxa" w:w="4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lbfgs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max_iter=1000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class_weight="balanced"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Sigmoide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lineal (Gloria Chushig)</w:t>
            </w:r>
          </w:p>
        </w:tc>
        <w:tc>
          <w:tcPr>
            <w:tcW w:type="dxa" w:w="4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LinearSVC(C=1.0, class_weight="balanced")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calibrado (sigmoide, 5 particiones)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Calibración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polinómico (Alejandro Flores)</w:t>
            </w:r>
          </w:p>
        </w:tc>
        <w:tc>
          <w:tcPr>
            <w:tcW w:type="dxa" w:w="4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SVC(kernel="poly", degree=3, coef0=1, C=1.0, class_weight="balanced")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Platt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gaussiano (Alejandro Flores)</w:t>
            </w:r>
          </w:p>
        </w:tc>
        <w:tc>
          <w:tcPr>
            <w:tcW w:type="dxa" w:w="461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SVC(kernel="rbf", gamma="scale", C=1.0, class_weight="balanced")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Platt</w:t>
            </w:r>
          </w:p>
        </w:tc>
      </w:tr>
    </w:tbl>
    <w:p>
      <w:pPr>
        <w:spacing w:after="0" w:line="240"/>
      </w:pP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Tabla 2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Resultados en el conjunto de prueba (clase phishing)</w:t>
      </w:r>
    </w:p>
    <w:tbl>
      <w:tblPr>
        <w:tblW w:type="dxa" w:w="851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0"/>
        <w:gridCol w:w="860"/>
        <w:gridCol w:w="1000"/>
        <w:gridCol w:w="760"/>
        <w:gridCol w:w="760"/>
        <w:gridCol w:w="1000"/>
        <w:gridCol w:w="900"/>
        <w:gridCol w:w="1000"/>
      </w:tblGrid>
      <w:tr>
        <w:trPr>
          <w:tblHeader/>
        </w:trPr>
        <w:tc>
          <w:tcPr>
            <w:tcW w:type="dxa" w:w="223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86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Precision</w:t>
            </w:r>
          </w:p>
        </w:tc>
        <w:tc>
          <w:tcPr>
            <w:tcW w:type="dxa" w:w="76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76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1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Accuracy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FN</w:t>
            </w:r>
          </w:p>
        </w:tc>
        <w:tc>
          <w:tcPr>
            <w:tcW w:type="dxa" w:w="1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FP</w:t>
            </w:r>
          </w:p>
        </w:tc>
      </w:tr>
      <w:tr>
        <w:trPr>
          <w:cantSplit/>
        </w:trPr>
        <w:tc>
          <w:tcPr>
            <w:tcW w:type="dxa" w:w="2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Regresión Logística</w:t>
            </w:r>
          </w:p>
        </w:tc>
        <w:tc>
          <w:tcPr>
            <w:tcW w:type="dxa" w:w="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0,920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0,686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0,977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264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1.396</w:t>
            </w:r>
          </w:p>
        </w:tc>
      </w:tr>
      <w:tr>
        <w:trPr>
          <w:cantSplit/>
        </w:trPr>
        <w:tc>
          <w:tcPr>
            <w:tcW w:type="dxa" w:w="2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lineal</w:t>
            </w:r>
          </w:p>
        </w:tc>
        <w:tc>
          <w:tcPr>
            <w:tcW w:type="dxa" w:w="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0,758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0,910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0,827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0,976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0,954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803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2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polinómico</w:t>
            </w:r>
          </w:p>
        </w:tc>
        <w:tc>
          <w:tcPr>
            <w:tcW w:type="dxa" w:w="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0,862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0,940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0,899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0,990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459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223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SVM gaussiano</w:t>
            </w:r>
          </w:p>
        </w:tc>
        <w:tc>
          <w:tcPr>
            <w:tcW w:type="dxa" w:w="86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0,903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0,915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0,909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0,991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0,974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shd w:fill="EAF2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277</w:t>
            </w:r>
          </w:p>
        </w:tc>
      </w:tr>
    </w:tbl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FN = ataques no detectados; FP = falsas alarmas. En negrita, el mejor valor de cada columna.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comprobar que la diferencia no depende de una partición afortunada se aplicó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validación cruzada estratificada de 5 particiones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sobre el conjunto de entrenamiento. Los resultados fueron estables (desviación ≤ 0,008) y se mantuvo el mismo orden: el SVM gaussiano obtuvo el mejor F1 (0,888 ± 0,003) y AUC (0,989 ± 0,001), seguido del polinómico (F1 0,879), el SVM lineal (0,821) y la Regresión Logística (0,784).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Figura 3 muestra dos grupos de curvas ROC. Los modelos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lineales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(Regresión Logística y SVM lineal) son prácticamente idénticos (AUC 0,977 y 0,976): sus diferencias de Recall y Precision se deben al punto de corte, no a su capacidad de separar las clases. Los SVM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kernel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están claramente por encima (AUC 0,990 y 0,991): con solo 2,5 % de falsas alarmas detectan ≈ 93–94 % del phishing, porque el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kernel trick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permite fronteras no lineales que combinan variables (p. ej. HTTPS con alta entropía y muchos dígitos).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3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Curvas ROC con zoom en FPR ≤ 0,20 (izquierda) y probabilidades del SVM gaussiano por clase real (derecha)</w:t>
      </w:r>
    </w:p>
    <w:p>
      <w:pPr>
        <w:keepNext/>
        <w:spacing w:after="120"/>
        <w:jc w:val="center"/>
      </w:pPr>
      <w:r>
        <w:drawing>
          <wp:inline distT="0" distB="0" distL="0" distR="0">
            <wp:extent cx="2266950" cy="1552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</w:t>
      </w:r>
      <w:r>
        <w:drawing>
          <wp:inline distT="0" distB="0" distL="0" distR="0">
            <wp:extent cx="2371725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seleccionado: SVM gaussiano (RBF).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Tiene el mejor F1 (0,909) y AUC (0,991), confirmados con validación cruzada. En ciberseguridad un falso negativo es una posible víctima, por lo que el Recall es prioritario: la Regresión Logística detecta algo más (92,0 % frente a 90,3 %), pero genera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veces más falsas alarmas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(1.396 frente a 277), y un detector que se equivoca en 1 de cada 3 alertas termina siendo ignorado. Frente al polinómico, el gaussiano detecta 137 ataques más a cambio de solo 95 falsas alarmas adicionales. Su costo es un entrenamiento más lento (≈ 6 min) y menor interpretabilidad. Se reentrenó con el 100 % de los datos (</w:t>
      </w:r>
      <w:r>
        <w:rPr>
          <w:rFonts w:ascii="Courier New" w:cs="Courier New" w:eastAsia="Courier New" w:hAnsi="Courier New"/>
          <w:sz w:val="21"/>
          <w:szCs w:val="21"/>
        </w:rPr>
        <w:t xml:space="preserve">models/modelo_svm_rbf.pkl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Aplicación web</w:t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aplicación en Streamlit tiene tres páginas: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Analizar URL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la tabla de métricas)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Ayuda y consejos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El usuario pega una URL, el extractor calcula las 22 variables, el SVM gaussiano devuelve la probabilidad y la app muestra una tarjeta roja con el nivel de riesgo o una verde de sitio seguro, junto con el host, el protocolo, el tipo de dirección y las palabras sensibles detectadas. Un selector permite comparar la misma URL con los cuatro modelos.</w:t>
      </w:r>
    </w:p>
    <w:p>
      <w:pPr>
        <w:keepNext/>
        <w:spacing w:after="0" w:before="120" w:lin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Figura 4</w:t>
      </w:r>
    </w:p>
    <w:p>
      <w:pPr>
        <w:keepNext/>
        <w:spacing w:after="6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Resultados de la aplicación con el SVM gaussiano: URL legítima (izquierda) y URL de phishing (derecha)</w:t>
      </w:r>
    </w:p>
    <w:p>
      <w:pPr>
        <w:keepNext/>
        <w:spacing w:after="120"/>
        <w:jc w:val="center"/>
      </w:pPr>
      <w:r>
        <w:drawing>
          <wp:inline distT="0" distB="0" distL="0" distR="0">
            <wp:extent cx="194310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</w:t>
      </w:r>
      <w:r>
        <w:drawing>
          <wp:inline distT="0" distB="0" distL="0" distR="0">
            <wp:extent cx="194310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Limitaciones.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análisis es léxico: no visita la página ni revisa su contenido. Además, el dataset contiene sobre todo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páginas principales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sitios legítimos, por lo que un enlace legítimo profundo (una búsqueda, un artículo, un repositorio) puede recibir un riesgo mayor al real; y solo 13 URLs del dataset son una IP, así que el modelo no aprendió a usar esa señal. Ambas limitaciones se informan en la propia aplicación.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Instalación y ejecución local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Requisitos: Python 3.11 o superior. Desde la raíz del proyecto: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git clone https://github.com/alex171215/Detector-Phishing-ML.git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cd Detector-Phishing-ML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-r requirements.txt</w:t>
      </w:r>
    </w:p>
    <w:p>
      <w:pPr>
        <w:spacing w:after="0" w:line="24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python -m streamlit run app.py</w:t>
      </w:r>
    </w:p>
    <w:p>
      <w:pPr>
        <w:spacing w:after="40" w:before="8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app se abre en </w:t>
      </w:r>
      <w:r>
        <w:rPr>
          <w:rFonts w:ascii="Courier New" w:cs="Courier New" w:eastAsia="Courier New" w:hAnsi="Courier New"/>
          <w:sz w:val="21"/>
          <w:szCs w:val="21"/>
        </w:rPr>
        <w:t xml:space="preserve">http://localhost:8501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Los modelos ya entrenados están en </w:t>
      </w:r>
      <w:r>
        <w:rPr>
          <w:rFonts w:ascii="Courier New" w:cs="Courier New" w:eastAsia="Courier New" w:hAnsi="Courier New"/>
          <w:sz w:val="21"/>
          <w:szCs w:val="21"/>
        </w:rPr>
        <w:t xml:space="preserve">models/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para reentrenarlos se descarga </w:t>
      </w:r>
      <w:r>
        <w:rPr>
          <w:rFonts w:ascii="Courier New" w:cs="Courier New" w:eastAsia="Courier New" w:hAnsi="Courier New"/>
          <w:sz w:val="21"/>
          <w:szCs w:val="21"/>
        </w:rPr>
        <w:t xml:space="preserve">Dataset.csv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de Kaggle en </w:t>
      </w:r>
      <w:r>
        <w:rPr>
          <w:rFonts w:ascii="Courier New" w:cs="Courier New" w:eastAsia="Courier New" w:hAnsi="Courier New"/>
          <w:sz w:val="21"/>
          <w:szCs w:val="21"/>
        </w:rPr>
        <w:t xml:space="preserve">data/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se ejecuta </w:t>
      </w:r>
      <w:r>
        <w:rPr>
          <w:rFonts w:ascii="Courier New" w:cs="Courier New" w:eastAsia="Courier New" w:hAnsi="Courier New"/>
          <w:sz w:val="21"/>
          <w:szCs w:val="21"/>
        </w:rPr>
        <w:t xml:space="preserve">python -m scripts.entrenar todos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 versión </w:t>
      </w:r>
      <w:r>
        <w:rPr>
          <w:rFonts w:ascii="Courier New" w:cs="Courier New" w:eastAsia="Courier New" w:hAnsi="Courier New"/>
          <w:sz w:val="21"/>
          <w:szCs w:val="21"/>
        </w:rPr>
        <w:t xml:space="preserve">scikit-learn==1.9.1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está fijada en </w:t>
      </w:r>
      <w:r>
        <w:rPr>
          <w:rFonts w:ascii="Courier New" w:cs="Courier New" w:eastAsia="Courier New" w:hAnsi="Courier New"/>
          <w:sz w:val="21"/>
          <w:szCs w:val="21"/>
        </w:rPr>
        <w:t xml:space="preserve">requirements.txt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para que los </w:t>
      </w:r>
      <w:r>
        <w:rPr>
          <w:rFonts w:ascii="Courier New" w:cs="Courier New" w:eastAsia="Courier New" w:hAnsi="Courier New"/>
          <w:sz w:val="21"/>
          <w:szCs w:val="21"/>
        </w:rPr>
        <w:t xml:space="preserve">.pkl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carguen igual en cualquier equipo.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Conclusiones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SVM gaussiano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fue el mejor modelo (F1 0,909, AUC 0,991, Recall 90,3 %, Precision 91,5 %), con ventajas estables en validación cruzada.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kernels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marcan la diferencia: con el mismo </w:t>
      </w:r>
      <w:r>
        <w:rPr>
          <w:rFonts w:ascii="Courier New" w:cs="Courier New" w:eastAsia="Courier New" w:hAnsi="Courier New"/>
          <w:sz w:val="21"/>
          <w:szCs w:val="21"/>
        </w:rPr>
        <w:t xml:space="preserve">C =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pasar del SVM lineal al polinómico o al gaussiano sube el AUC de 0,976 a 0,990–0,991, porque las fronteras no lineales captan combinaciones de variables que un hiperplano no puede representar.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éxito en producción depende tanto del modelo como del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extractor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validarlo variable por variable contra el dataset fue indispensable para que la app prediga correctamente.</w:t>
      </w:r>
    </w:p>
    <w:p>
      <w:pPr>
        <w:pStyle w:val="ListParagraph"/>
        <w:numPr>
          <w:ilvl w:val="0"/>
          <w:numId w:val="2"/>
        </w:numPr>
        <w:spacing w:after="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Como trabajo futuro se propone ampliar el dataset con enlaces profundos legítimos y URLs con IP, y ajustar </w:t>
      </w:r>
      <w:r>
        <w:rPr>
          <w:rFonts w:ascii="Courier New" w:cs="Courier New" w:eastAsia="Courier New" w:hAnsi="Courier New"/>
          <w:sz w:val="21"/>
          <w:szCs w:val="21"/>
        </w:rPr>
        <w:t xml:space="preserve">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gamma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umbral de decisión con validación cruzada según el costo de cada tipo de error.</w:t>
      </w:r>
    </w:p>
    <w:p>
      <w:pPr>
        <w:keepNext/>
        <w:keepLines/>
        <w:spacing w:after="80" w:before="20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6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Namvar, S. (s.f.).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Phishing URL Detection (111K URLs, 22 Features)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[Conjunto de datos]. Kaggle. https://www.kaggle.com/datasets/sahandnamvar/phishing-url-detection-111k-urls-22-features</w:t>
      </w:r>
    </w:p>
    <w:p>
      <w:pPr>
        <w:spacing w:after="60" w:line="240"/>
        <w:ind w:left="720" w:hanging="7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Pedregosa, F., Varoquaux, G., Gramfort, A., Michel, V., Thirion, B., Grisel, O., … Duchesnay, É. (2011). Scikit-learn: Machine learning in Python.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Journal of Machine Learning Research, 12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2825–2830.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10" w:h="16840" w:orient="portrait"/>
      <w:pgMar w:top="2000" w:right="1700" w:bottom="1134" w:left="1700" w:header="21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8510"/>
      </w:tabs>
      <w:spacing w:after="0"/>
    </w:pPr>
    <w:r>
      <w:drawing>
        <wp:inline distT="0" distB="0" distL="0" distR="0">
          <wp:extent cx="2228850" cy="600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8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  <w:color w:val="595959"/>
        <w:sz w:val="16"/>
        <w:szCs w:val="16"/>
      </w:rPr>
      <w:t xml:space="preserve">	FACULTAD DE HÁBITAT, INFRAESTRUCTURA Y CREATIVIDAD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8510"/>
      </w:tabs>
      <w:spacing w:after="0"/>
    </w:pPr>
    <w:r>
      <w:drawing>
        <wp:inline distT="0" distB="0" distL="0" distR="0">
          <wp:extent cx="2228850" cy="600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288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  <w:color w:val="595959"/>
        <w:sz w:val="16"/>
        <w:szCs w:val="16"/>
      </w:rPr>
      <w:t xml:space="preserve">	FACULTAD DE HÁBITAT, INFRAESTRUCTURA Y CREATIVIDAD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ecd3d76189eb18a2921d90acc0d26fd50584e85f.png"/><Relationship Id="rId12" Type="http://schemas.openxmlformats.org/officeDocument/2006/relationships/image" Target="media/d608e48f92879a6528c94760035345ef2655750a.png"/><Relationship Id="rId13" Type="http://schemas.openxmlformats.org/officeDocument/2006/relationships/image" Target="media/832b4de9f2575017c9aac58240fb234a32d86ce5.png"/><Relationship Id="rId14" Type="http://schemas.openxmlformats.org/officeDocument/2006/relationships/image" Target="media/961281a714672b27f080fadd9522709e29b02626.png"/><Relationship Id="rId15" Type="http://schemas.openxmlformats.org/officeDocument/2006/relationships/image" Target="media/3f7249430392924facfefc177c3bb9f8eca64175.png"/><Relationship Id="rId16" Type="http://schemas.openxmlformats.org/officeDocument/2006/relationships/image" Target="media/7f4353d2cd93e114040570d773dce55c065e2ec8.png"/><Relationship Id="rId17" Type="http://schemas.openxmlformats.org/officeDocument/2006/relationships/image" Target="media/57577866c47b11985e0cae6fd8ce06ffac928c01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9fa762d6877b9b1db91467108698b3253d7e7ad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9fa762d6877b9b1db91467108698b3253d7e7a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RDA1: Detección de Phishing en URLs</dc:title>
  <dc:creator>Alejandro Flores, Paúl Rosero, Gloria Chushig</dc:creator>
  <cp:lastModifiedBy>Un-named</cp:lastModifiedBy>
  <cp:revision>1</cp:revision>
  <dcterms:created xsi:type="dcterms:W3CDTF">2026-10-10T21:25:27.227Z</dcterms:created>
  <dcterms:modified xsi:type="dcterms:W3CDTF">2026-10-10T21:25:27.228Z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