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2FABC" w14:textId="77777777" w:rsidR="00EC127F" w:rsidRPr="00EC127F" w:rsidRDefault="00EC127F" w:rsidP="00EC127F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36"/>
          <w:sz w:val="48"/>
          <w:szCs w:val="48"/>
          <w14:ligatures w14:val="none"/>
        </w:rPr>
        <w:t>Model Card: ViT-DeCV</w:t>
      </w:r>
    </w:p>
    <w:p w14:paraId="4549E061" w14:textId="77777777" w:rsidR="00EC127F" w:rsidRPr="00EC127F" w:rsidRDefault="00EC127F" w:rsidP="00EC1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1. Model Details</w:t>
      </w:r>
    </w:p>
    <w:p w14:paraId="3E31BA29" w14:textId="77777777" w:rsidR="00EC127F" w:rsidRPr="00EC127F" w:rsidRDefault="00EC127F" w:rsidP="00EC12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 Name: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ViT-DeCV (Vision Transformer with Decorrelated Attention Head Output Vector) </w:t>
      </w:r>
    </w:p>
    <w:p w14:paraId="14BF9755" w14:textId="77777777" w:rsidR="00EC127F" w:rsidRPr="00EC127F" w:rsidRDefault="00EC127F" w:rsidP="00EC12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Model Type: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Image Classification Model (Fine-tuned Vision Transformer) </w:t>
      </w:r>
    </w:p>
    <w:p w14:paraId="151D4297" w14:textId="77777777" w:rsidR="00EC127F" w:rsidRPr="00EC127F" w:rsidRDefault="00EC127F" w:rsidP="00EC12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Version: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1.0</w:t>
      </w:r>
    </w:p>
    <w:p w14:paraId="1E9062DD" w14:textId="77777777" w:rsidR="00EC127F" w:rsidRPr="00EC127F" w:rsidRDefault="00EC127F" w:rsidP="00EC12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Base Architectures:</w:t>
      </w:r>
    </w:p>
    <w:p w14:paraId="242D811E" w14:textId="77777777" w:rsidR="00EC127F" w:rsidRPr="00EC127F" w:rsidRDefault="00EC127F" w:rsidP="00EC12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ViT-L-14-laion2B-s32B-b82K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(Large) </w:t>
      </w:r>
    </w:p>
    <w:p w14:paraId="00BF24A8" w14:textId="77777777" w:rsidR="00EC127F" w:rsidRPr="00EC127F" w:rsidRDefault="00EC127F" w:rsidP="00EC12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color w:val="000000"/>
          <w:kern w:val="0"/>
          <w:sz w:val="20"/>
          <w:szCs w:val="20"/>
          <w14:ligatures w14:val="none"/>
        </w:rPr>
        <w:t>google/vit-base-patch16-224-in21k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(Base) </w:t>
      </w:r>
    </w:p>
    <w:p w14:paraId="3FEE02D2" w14:textId="77777777" w:rsidR="00EC127F" w:rsidRPr="00EC127F" w:rsidRDefault="00EC127F" w:rsidP="00EC12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Architecture &amp; Design:</w:t>
      </w:r>
    </w:p>
    <w:p w14:paraId="28EEF833" w14:textId="0E8184AF" w:rsidR="00EC127F" w:rsidRPr="00EC127F" w:rsidRDefault="00EC127F" w:rsidP="00EC12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Core Mechanism: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Incorporates a </w:t>
      </w: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Diversity Loss (</w:t>
      </w:r>
      <m:oMath>
        <m:sSub>
          <m:sSubPr>
            <m:ctrlPr>
              <w:rPr>
                <w:rFonts w:ascii="Cambria Math" w:hAnsi="Cambria Math"/>
                <w:b/>
                <w:bCs/>
                <w:sz w:val="22"/>
                <w:szCs w:val="22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m:rPr>
                <m:sty m:val="bi"/>
              </m:rPr>
              <w:rPr>
                <w:rFonts w:ascii="Cambria Math" w:hAnsi="Cambria Math"/>
                <w:sz w:val="22"/>
                <w:szCs w:val="22"/>
              </w:rPr>
              <m:t>div</m:t>
            </m:r>
          </m:sub>
        </m:sSub>
      </m:oMath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)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term, which penalizes the cosine similarity between attention head output vectors in the final layer.</w:t>
      </w:r>
    </w:p>
    <w:p w14:paraId="72B48D86" w14:textId="63A63E52" w:rsidR="00EC127F" w:rsidRPr="00EC127F" w:rsidRDefault="00EC127F" w:rsidP="00EC12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Loss Function: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total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= 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classification</m:t>
            </m:r>
          </m:sub>
        </m:sSub>
        <m:r>
          <w:rPr>
            <w:rFonts w:ascii="Cambria Math" w:hAnsi="Cambria Math"/>
            <w:sz w:val="22"/>
            <w:szCs w:val="22"/>
          </w:rPr>
          <m:t xml:space="preserve"> + λ⋅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div</m:t>
            </m:r>
          </m:sub>
        </m:sSub>
      </m:oMath>
    </w:p>
    <w:p w14:paraId="13A63515" w14:textId="45E52D78" w:rsidR="00EC127F" w:rsidRPr="00EC127F" w:rsidRDefault="00EC127F" w:rsidP="00EC12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Calculation</w:t>
      </w:r>
      <w:r w:rsidRPr="00EC127F">
        <w:rPr>
          <w:rFonts w:ascii="Times New Roman" w:eastAsia="Times New Roman" w:hAnsi="Times New Roman" w:cs="Times New Roman"/>
          <w:b/>
          <w:bCs/>
          <w:i/>
          <w:iCs/>
          <w:color w:val="000000"/>
          <w:kern w:val="0"/>
          <w14:ligatures w14:val="none"/>
        </w:rPr>
        <w:t>:</w:t>
      </w:r>
      <w:r w:rsidRPr="00EC127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 </w:t>
      </w:r>
      <m:oMath>
        <m:sSub>
          <m:sSubPr>
            <m:ctrlPr>
              <w:rPr>
                <w:rFonts w:ascii="Cambria Math" w:hAnsi="Cambria Math"/>
                <w:i/>
                <w:iCs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div</m:t>
            </m:r>
          </m:sub>
        </m:sSub>
      </m:oMath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computed as the Frobenius norm of the difference between the cosine similarity matrix (</w:t>
      </w:r>
      <w:r w:rsidRPr="00EC127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S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and the identity matrix (</w:t>
      </w:r>
      <w:r w:rsidRPr="00EC127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I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), using </w:t>
      </w:r>
      <w:r w:rsidRPr="00EC127F">
        <w:rPr>
          <w:rFonts w:ascii="Times New Roman" w:eastAsia="Times New Roman" w:hAnsi="Times New Roman" w:cs="Times New Roman"/>
          <w:i/>
          <w:iCs/>
          <w:color w:val="000000"/>
          <w:kern w:val="0"/>
          <w14:ligatures w14:val="none"/>
        </w:rPr>
        <w:t>ReLU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to focus only on positive correlations: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div</m:t>
            </m:r>
          </m:sub>
        </m:sSub>
        <m:r>
          <w:rPr>
            <w:rFonts w:ascii="Cambria Math" w:hAnsi="Cambria Math"/>
            <w:sz w:val="22"/>
            <w:szCs w:val="22"/>
          </w:rPr>
          <m:t>=</m:t>
        </m:r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sSup>
              <m:sSupPr>
                <m:ctrlPr>
                  <w:rPr>
                    <w:rFonts w:ascii="Cambria Math" w:hAnsi="Cambria Math"/>
                    <w:sz w:val="22"/>
                    <w:szCs w:val="22"/>
                  </w:rPr>
                </m:ctrlPr>
              </m:sSupPr>
              <m:e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  <w:sz w:val="22"/>
                        <w:szCs w:val="22"/>
                      </w:rPr>
                    </m:ctrlPr>
                  </m:d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/>
                            <w:sz w:val="22"/>
                            <w:szCs w:val="22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2"/>
                            <w:szCs w:val="22"/>
                          </w:rPr>
                          <m:t>ReLU(S - I)</m:t>
                        </m:r>
                      </m:e>
                    </m:d>
                  </m:e>
                </m:d>
              </m:e>
              <m:sup>
                <m:r>
                  <w:rPr>
                    <w:rFonts w:ascii="Cambria Math" w:hAnsi="Cambria Math"/>
                    <w:sz w:val="22"/>
                    <w:szCs w:val="22"/>
                  </w:rPr>
                  <m:t>2</m:t>
                </m:r>
              </m:sup>
            </m:sSup>
          </m:e>
          <m:sub>
            <m:r>
              <w:rPr>
                <w:rFonts w:ascii="Cambria Math" w:hAnsi="Cambria Math"/>
                <w:sz w:val="22"/>
                <w:szCs w:val="22"/>
              </w:rPr>
              <m:t>F</m:t>
            </m:r>
          </m:sub>
        </m:sSub>
      </m:oMath>
    </w:p>
    <w:p w14:paraId="6A4F3394" w14:textId="77777777" w:rsidR="00EC127F" w:rsidRPr="00EC127F" w:rsidRDefault="00EC127F" w:rsidP="00EC127F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Training Strategy: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Utilizes a partial fine-tuning strategy (Defreeze), freezing early layers and training only the last layer to conserve computational resources. For ViT-B-32, this results in approximately 7.5M trainable parameters.</w:t>
      </w:r>
    </w:p>
    <w:p w14:paraId="7B7AA382" w14:textId="77777777" w:rsidR="00EC127F" w:rsidRPr="00EC127F" w:rsidRDefault="00EC127F" w:rsidP="00EC127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Training Framework &amp; Hardware: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Trained using PyTorch; fine-tuning ViT-L-14 takes approximately 2 hours for 10 epochs on an A100 GPU (80GB memory).</w:t>
      </w:r>
    </w:p>
    <w:p w14:paraId="2ADF9DE6" w14:textId="77777777" w:rsidR="00EC127F" w:rsidRPr="00EC127F" w:rsidRDefault="00EC127F" w:rsidP="00EC1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2. Training Data</w:t>
      </w:r>
    </w:p>
    <w:p w14:paraId="5FB95B24" w14:textId="77777777" w:rsidR="00EC127F" w:rsidRPr="00EC127F" w:rsidRDefault="00EC127F" w:rsidP="00EC1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The model was evaluated on three datasets to test generalization, stability, and robustness:</w:t>
      </w:r>
    </w:p>
    <w:p w14:paraId="64EA6511" w14:textId="77777777" w:rsidR="00EC127F" w:rsidRPr="00EC127F" w:rsidRDefault="00EC127F" w:rsidP="00EC12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CIFAR-10: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10-class dataset used for initial validation and generalization testing.</w:t>
      </w:r>
    </w:p>
    <w:p w14:paraId="0F343A16" w14:textId="77777777" w:rsidR="00EC127F" w:rsidRPr="00EC127F" w:rsidRDefault="00EC127F" w:rsidP="00EC12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CIFAR-100: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100-class dataset used to evaluate training stability and performance on more complex tasks.</w:t>
      </w:r>
    </w:p>
    <w:p w14:paraId="61A50999" w14:textId="77777777" w:rsidR="00EC127F" w:rsidRPr="00EC127F" w:rsidRDefault="00EC127F" w:rsidP="00EC127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Waterbirds (Sagawa et al., 2019):</w:t>
      </w:r>
    </w:p>
    <w:p w14:paraId="136E27D9" w14:textId="77777777" w:rsidR="00EC127F" w:rsidRPr="00EC127F" w:rsidRDefault="00EC127F" w:rsidP="00EC12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Purpose: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Specifically designed to test robustness against </w:t>
      </w: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spurious correlations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03FB6D94" w14:textId="77777777" w:rsidR="00EC127F" w:rsidRPr="00EC127F" w:rsidRDefault="00EC127F" w:rsidP="00EC127F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Composition: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Combines bird types (Waterbirds/Landbirds) with conflicting backgrounds (Water/Land). It includes "worst-group" scenarios where the background does not match the bird (e.g., landbird on water).</w:t>
      </w:r>
    </w:p>
    <w:p w14:paraId="5FA76DA7" w14:textId="77777777" w:rsidR="00EC127F" w:rsidRPr="00EC127F" w:rsidRDefault="00EC127F" w:rsidP="00EC1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3. Performance Metrics</w:t>
      </w:r>
    </w:p>
    <w:p w14:paraId="352683EC" w14:textId="77777777" w:rsidR="00EC127F" w:rsidRPr="00EC127F" w:rsidRDefault="00EC127F" w:rsidP="00EC12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Performance is evaluated using </w:t>
      </w: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Top-1 Accuracy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 </w:t>
      </w: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Standard Deviation (SD)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to measure stability across multiple training runs.</w:t>
      </w:r>
    </w:p>
    <w:p w14:paraId="219FCFED" w14:textId="77777777" w:rsidR="00EC127F" w:rsidRPr="00EC127F" w:rsidRDefault="00EC127F" w:rsidP="00EC12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Training Stability (CIFAR-100):</w:t>
      </w:r>
    </w:p>
    <w:p w14:paraId="0AF86CC0" w14:textId="77777777" w:rsidR="00EC127F" w:rsidRPr="00EC127F" w:rsidRDefault="00EC127F" w:rsidP="00EC12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Baseline: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Accuracy 83.75%, SD 0.06.</w:t>
      </w:r>
    </w:p>
    <w:p w14:paraId="7770B752" w14:textId="77777777" w:rsidR="00EC127F" w:rsidRPr="00EC127F" w:rsidRDefault="00EC127F" w:rsidP="00EC12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ViT-DeCV (MyModel):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Accuracy 86.83%, </w:t>
      </w: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SD 0.001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3A35C01F" w14:textId="77777777" w:rsidR="00EC127F" w:rsidRPr="00EC127F" w:rsidRDefault="00EC127F" w:rsidP="00EC12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Analysis: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model demonstrated a 3.08% accuracy gain and a drastic reduction in standard deviation (from 0.06 to 0.001), proving  functions effectively as a stabilizer.</w:t>
      </w:r>
    </w:p>
    <w:p w14:paraId="3B183E5A" w14:textId="77777777" w:rsidR="00EC127F" w:rsidRPr="00EC127F" w:rsidRDefault="00EC127F" w:rsidP="00EC12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Generalization (CIFAR-10):</w:t>
      </w:r>
    </w:p>
    <w:p w14:paraId="2C1CDB69" w14:textId="77777777" w:rsidR="00EC127F" w:rsidRPr="00EC127F" w:rsidRDefault="00EC127F" w:rsidP="00EC12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Baseline: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Accuracy 95.95%.</w:t>
      </w:r>
    </w:p>
    <w:p w14:paraId="6A1A2761" w14:textId="77777777" w:rsidR="00EC127F" w:rsidRPr="00EC127F" w:rsidRDefault="00EC127F" w:rsidP="00EC12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ViT-DeCV: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Accuracy 96.85% (+0.9%).</w:t>
      </w:r>
    </w:p>
    <w:p w14:paraId="0865A516" w14:textId="77777777" w:rsidR="00EC127F" w:rsidRPr="00EC127F" w:rsidRDefault="00EC127F" w:rsidP="00EC12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Analysis: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Improvement was marginal because the pre-trained baseline already achieves high accuracy and inherent diversity.</w:t>
      </w:r>
    </w:p>
    <w:p w14:paraId="3E7ADF3C" w14:textId="77777777" w:rsidR="00EC127F" w:rsidRPr="00EC127F" w:rsidRDefault="00EC127F" w:rsidP="00EC127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Robustness &amp; Worst-Group Performance (Waterbirds - ViT-B-32):</w:t>
      </w:r>
    </w:p>
    <w:p w14:paraId="0AD2DB04" w14:textId="77777777" w:rsidR="00EC127F" w:rsidRPr="00EC127F" w:rsidRDefault="00EC127F" w:rsidP="00EC12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Baseline: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Full Accuracy 82.08%.</w:t>
      </w:r>
    </w:p>
    <w:p w14:paraId="5628D03D" w14:textId="77777777" w:rsidR="00EC127F" w:rsidRPr="00EC127F" w:rsidRDefault="00EC127F" w:rsidP="00EC12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ViT-DeCV: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Full Accuracy 83.62% (+1.54%).</w:t>
      </w:r>
    </w:p>
    <w:p w14:paraId="76C99F4E" w14:textId="77777777" w:rsidR="00EC127F" w:rsidRPr="00EC127F" w:rsidRDefault="00EC127F" w:rsidP="00EC127F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Worst-group (0,1) Accuracy: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Improved from 70.17% to 73.61%.</w:t>
      </w:r>
    </w:p>
    <w:p w14:paraId="2FF169CD" w14:textId="77777777" w:rsidR="00EC127F" w:rsidRPr="00EC127F" w:rsidRDefault="00EC127F" w:rsidP="00EC1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4. Intended Use</w:t>
      </w:r>
    </w:p>
    <w:p w14:paraId="5B7497B1" w14:textId="77777777" w:rsidR="00EC127F" w:rsidRPr="00EC127F" w:rsidRDefault="00EC127F" w:rsidP="00EC12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Primary Use Cases:</w:t>
      </w:r>
    </w:p>
    <w:p w14:paraId="22EC4050" w14:textId="77777777" w:rsidR="00EC127F" w:rsidRPr="00EC127F" w:rsidRDefault="00EC127F" w:rsidP="00EC127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Tasks requiring </w:t>
      </w: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high training stability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and reproducibility across random seeds.</w:t>
      </w:r>
    </w:p>
    <w:p w14:paraId="5C6BFCD3" w14:textId="77777777" w:rsidR="00EC127F" w:rsidRPr="00EC127F" w:rsidRDefault="00EC127F" w:rsidP="00EC127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Resource-constrained fine-tuning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where full-model training is not feasible, and only the final layers can be updated.</w:t>
      </w:r>
    </w:p>
    <w:p w14:paraId="35CF1A99" w14:textId="77777777" w:rsidR="00EC127F" w:rsidRPr="00EC127F" w:rsidRDefault="00EC127F" w:rsidP="00EC127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Out of Scope:</w:t>
      </w:r>
    </w:p>
    <w:p w14:paraId="653C214B" w14:textId="5F4AAB74" w:rsidR="00EC127F" w:rsidRPr="00EC127F" w:rsidRDefault="00EC127F" w:rsidP="00EC127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Tasks where the baseline model is already highly optimized and diverse (high-baseline), as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div</m:t>
            </m:r>
          </m:sub>
        </m:sSub>
      </m:oMath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yields limited gains.</w:t>
      </w:r>
    </w:p>
    <w:p w14:paraId="4ED61F8C" w14:textId="77777777" w:rsidR="00EC127F" w:rsidRPr="00EC127F" w:rsidRDefault="00EC127F" w:rsidP="00EC127F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Tasks requiring deep semantic disentanglement where statistical orthogonality is insufficient compared to semantic interventions.</w:t>
      </w:r>
    </w:p>
    <w:p w14:paraId="07852DE2" w14:textId="77777777" w:rsidR="00EC127F" w:rsidRPr="00EC127F" w:rsidRDefault="00EC127F" w:rsidP="00EC1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5. Limitations and Failure Modes</w:t>
      </w:r>
    </w:p>
    <w:p w14:paraId="1B3DD96C" w14:textId="411B1EFD" w:rsidR="00EC127F" w:rsidRPr="00EC127F" w:rsidRDefault="00EC127F" w:rsidP="00EC12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Statistical Independence </w:t>
      </w:r>
      <m:oMath>
        <m:r>
          <m:rPr>
            <m:sty m:val="bi"/>
          </m:rPr>
          <w:rPr>
            <w:rFonts w:ascii="Cambria Math" w:eastAsia="Times New Roman" w:hAnsi="Cambria Math" w:cs="Times New Roman"/>
            <w:color w:val="000000"/>
            <w:kern w:val="0"/>
            <w14:ligatures w14:val="none"/>
          </w:rPr>
          <m:t>≠</m:t>
        </m:r>
      </m:oMath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 Semantic Diversity:</w:t>
      </w:r>
    </w:p>
    <w:p w14:paraId="2ECABF0E" w14:textId="63F05F32" w:rsidR="00EC127F" w:rsidRPr="00EC127F" w:rsidRDefault="00EC127F" w:rsidP="00EC12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Limitation: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Enforcing statistical orthogonality via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div</m:t>
            </m:r>
          </m:sub>
        </m:sSub>
      </m:oMath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does not guarantee that the model learns semantically "meaningful" or distinct features.</w:t>
      </w:r>
    </w:p>
    <w:p w14:paraId="3310461E" w14:textId="65E49862" w:rsidR="00EC127F" w:rsidRPr="00EC127F" w:rsidRDefault="00EC127F" w:rsidP="00EC127F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Evidence: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 ViT-L-14 Waterbirds experiments,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div</m:t>
            </m:r>
          </m:sub>
        </m:sSub>
      </m:oMath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regularization actually resulted in slightly lower accuracy (91.75%) compared to the fine-tuned baseline (92.27%).</w:t>
      </w:r>
    </w:p>
    <w:p w14:paraId="125EB20F" w14:textId="10D4BE69" w:rsidR="00EC127F" w:rsidRPr="00EC127F" w:rsidRDefault="00EC127F" w:rsidP="00EC12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Natural Diversity: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Pre-trained ViT models inherently develop diverse attention heads during standard fine-tuning (even with </w:t>
      </w:r>
      <w:r w:rsidRPr="00EC127F">
        <w:rPr>
          <w:rFonts w:ascii="Times New Roman" w:hAnsi="Times New Roman" w:cs="Times New Roman"/>
          <w:sz w:val="22"/>
          <w:szCs w:val="22"/>
        </w:rPr>
        <w:t>λ=0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), which limits the effectiveness of explicitly adding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div</m:t>
            </m:r>
          </m:sub>
        </m:sSub>
      </m:oMath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</w:t>
      </w:r>
    </w:p>
    <w:p w14:paraId="55E1B606" w14:textId="77777777" w:rsidR="00EC127F" w:rsidRPr="00EC127F" w:rsidRDefault="00EC127F" w:rsidP="00EC127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Computational Cost: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Fine-tuning large models (e.g., ViT-L-14) remains resource-intensive despite freezing early layers.</w:t>
      </w:r>
    </w:p>
    <w:p w14:paraId="4F10F672" w14:textId="77777777" w:rsidR="00EC127F" w:rsidRPr="00EC127F" w:rsidRDefault="00EC127F" w:rsidP="00EC1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6. Fairness and Bias</w:t>
      </w:r>
    </w:p>
    <w:p w14:paraId="58CB4D54" w14:textId="77777777" w:rsidR="00EC127F" w:rsidRPr="00EC127F" w:rsidRDefault="00EC127F" w:rsidP="00EC12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Bias Mitigation: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model was evaluated on its ability to handle </w:t>
      </w: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spurious correlations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(e.g., relying on background instead of the object). On ViT-B-32, ViT-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lastRenderedPageBreak/>
        <w:t>DeCV improved performance on the "worst-group" (mismatched background), suggesting reduced reliance on background cues.</w:t>
      </w:r>
    </w:p>
    <w:p w14:paraId="0A626829" w14:textId="77777777" w:rsidR="00EC127F" w:rsidRPr="00EC127F" w:rsidRDefault="00EC127F" w:rsidP="00EC127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Comparison with Ablation:</w:t>
      </w:r>
    </w:p>
    <w:p w14:paraId="7C429BCC" w14:textId="4C998428" w:rsidR="00EC127F" w:rsidRPr="00EC127F" w:rsidRDefault="00EC127F" w:rsidP="00EC127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While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div</m:t>
            </m:r>
          </m:sub>
        </m:sSub>
      </m:oMath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helps, </w:t>
      </w: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User-Guided Ablation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(manually removing heads correlated with background features via CLIP analysis) proved significantly more effective.</w:t>
      </w:r>
    </w:p>
    <w:p w14:paraId="225FD613" w14:textId="386FCD58" w:rsidR="00EC127F" w:rsidRPr="00EC127F" w:rsidRDefault="00EC127F" w:rsidP="00EC127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Data: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On ViT-L-14, User-Guided Ablation achieved 93.73% accuracy, outperforming 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div</m:t>
            </m:r>
          </m:sub>
        </m:sSub>
      </m:oMath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's 91.75%.</w:t>
      </w:r>
    </w:p>
    <w:p w14:paraId="51A45F35" w14:textId="77777777" w:rsidR="00EC127F" w:rsidRPr="00EC127F" w:rsidRDefault="00EC127F" w:rsidP="00EC127F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Conclusion: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For addressing specific biases, understanding and controlling the </w:t>
      </w: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semantic roles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of attention heads is more effective than blind statistical decorrelation.</w:t>
      </w:r>
    </w:p>
    <w:p w14:paraId="29E558F6" w14:textId="77777777" w:rsidR="00EC127F" w:rsidRPr="00EC127F" w:rsidRDefault="00EC127F" w:rsidP="00EC12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:sz w:val="36"/>
          <w:szCs w:val="36"/>
          <w14:ligatures w14:val="none"/>
        </w:rPr>
        <w:t>7. Ethical Considerations</w:t>
      </w:r>
    </w:p>
    <w:p w14:paraId="5E928DA3" w14:textId="77777777" w:rsidR="00EC127F" w:rsidRPr="00EC127F" w:rsidRDefault="00EC127F" w:rsidP="00EC12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Research Prototype: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This model is a research prototype designed to explore regularization techniques for Attention mechanisms.</w:t>
      </w:r>
    </w:p>
    <w:p w14:paraId="37508FDD" w14:textId="34258881" w:rsidR="00EC127F" w:rsidRPr="00EC127F" w:rsidRDefault="00EC127F" w:rsidP="00EC127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EC127F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False Sense of Fairness:</w:t>
      </w:r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Users should not rely solely on statistical regularization (</w:t>
      </w:r>
      <m:oMath>
        <m:sSub>
          <m:sSubPr>
            <m:ctrlPr>
              <w:rPr>
                <w:rFonts w:ascii="Cambria Math" w:hAnsi="Cambria Math"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  <w:sz w:val="22"/>
                <w:szCs w:val="22"/>
              </w:rPr>
              <m:t>L</m:t>
            </m:r>
          </m:e>
          <m:sub>
            <m:r>
              <w:rPr>
                <w:rFonts w:ascii="Cambria Math" w:hAnsi="Cambria Math"/>
                <w:sz w:val="22"/>
                <w:szCs w:val="22"/>
              </w:rPr>
              <m:t>div</m:t>
            </m:r>
          </m:sub>
        </m:sSub>
      </m:oMath>
      <w:r w:rsidRPr="00EC127F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) to ensure model fairness. While it improves stability, experiments show it is less effective than targeted semantic interventions for eliminating deep-seated biases (like background dependency). Deployment in sensitive contexts requires rigorous semantic verification.</w:t>
      </w:r>
    </w:p>
    <w:p w14:paraId="4C4DBA81" w14:textId="77777777" w:rsidR="00EC127F" w:rsidRPr="00EC127F" w:rsidRDefault="00EC127F">
      <w:pPr>
        <w:rPr>
          <w:rFonts w:ascii="Times New Roman" w:hAnsi="Times New Roman" w:cs="Times New Roman"/>
        </w:rPr>
      </w:pPr>
    </w:p>
    <w:sectPr w:rsidR="00EC127F" w:rsidRPr="00EC127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559C0"/>
    <w:multiLevelType w:val="multilevel"/>
    <w:tmpl w:val="DA48A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8D156F"/>
    <w:multiLevelType w:val="multilevel"/>
    <w:tmpl w:val="F5206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CD73A1"/>
    <w:multiLevelType w:val="multilevel"/>
    <w:tmpl w:val="5A307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AD0244"/>
    <w:multiLevelType w:val="multilevel"/>
    <w:tmpl w:val="2618E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C91148"/>
    <w:multiLevelType w:val="multilevel"/>
    <w:tmpl w:val="5FDE1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3BD4DBC"/>
    <w:multiLevelType w:val="multilevel"/>
    <w:tmpl w:val="F3A83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738AC"/>
    <w:multiLevelType w:val="multilevel"/>
    <w:tmpl w:val="DEB8F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9290340">
    <w:abstractNumId w:val="4"/>
  </w:num>
  <w:num w:numId="2" w16cid:durableId="1429616743">
    <w:abstractNumId w:val="5"/>
  </w:num>
  <w:num w:numId="3" w16cid:durableId="1774399513">
    <w:abstractNumId w:val="0"/>
  </w:num>
  <w:num w:numId="4" w16cid:durableId="538010694">
    <w:abstractNumId w:val="6"/>
  </w:num>
  <w:num w:numId="5" w16cid:durableId="1883899948">
    <w:abstractNumId w:val="1"/>
  </w:num>
  <w:num w:numId="6" w16cid:durableId="1907715657">
    <w:abstractNumId w:val="2"/>
  </w:num>
  <w:num w:numId="7" w16cid:durableId="20312992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27F"/>
    <w:rsid w:val="00695472"/>
    <w:rsid w:val="00EC12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W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7313D6"/>
  <w15:chartTrackingRefBased/>
  <w15:docId w15:val="{5C549E30-EE28-0B4D-89F1-15929F6840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TW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12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C12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12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12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12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12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12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12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12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12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C12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12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12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12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12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12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12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12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12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12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12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12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12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12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12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12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12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12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127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C12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1028">
    <w:name w:val="citation-1028"/>
    <w:basedOn w:val="DefaultParagraphFont"/>
    <w:rsid w:val="00EC127F"/>
  </w:style>
  <w:style w:type="character" w:customStyle="1" w:styleId="apple-converted-space">
    <w:name w:val="apple-converted-space"/>
    <w:basedOn w:val="DefaultParagraphFont"/>
    <w:rsid w:val="00EC127F"/>
  </w:style>
  <w:style w:type="character" w:customStyle="1" w:styleId="citation-1027">
    <w:name w:val="citation-1027"/>
    <w:basedOn w:val="DefaultParagraphFont"/>
    <w:rsid w:val="00EC127F"/>
  </w:style>
  <w:style w:type="character" w:customStyle="1" w:styleId="citation-1026">
    <w:name w:val="citation-1026"/>
    <w:basedOn w:val="DefaultParagraphFont"/>
    <w:rsid w:val="00EC127F"/>
  </w:style>
  <w:style w:type="character" w:customStyle="1" w:styleId="citation-1025">
    <w:name w:val="citation-1025"/>
    <w:basedOn w:val="DefaultParagraphFont"/>
    <w:rsid w:val="00EC127F"/>
  </w:style>
  <w:style w:type="character" w:customStyle="1" w:styleId="citation-1024">
    <w:name w:val="citation-1024"/>
    <w:basedOn w:val="DefaultParagraphFont"/>
    <w:rsid w:val="00EC127F"/>
  </w:style>
  <w:style w:type="character" w:customStyle="1" w:styleId="citation-1023">
    <w:name w:val="citation-1023"/>
    <w:basedOn w:val="DefaultParagraphFont"/>
    <w:rsid w:val="00EC127F"/>
  </w:style>
  <w:style w:type="character" w:customStyle="1" w:styleId="citation-1022">
    <w:name w:val="citation-1022"/>
    <w:basedOn w:val="DefaultParagraphFont"/>
    <w:rsid w:val="00EC127F"/>
  </w:style>
  <w:style w:type="character" w:customStyle="1" w:styleId="citation-1021">
    <w:name w:val="citation-1021"/>
    <w:basedOn w:val="DefaultParagraphFont"/>
    <w:rsid w:val="00EC127F"/>
  </w:style>
  <w:style w:type="character" w:customStyle="1" w:styleId="citation-1020">
    <w:name w:val="citation-1020"/>
    <w:basedOn w:val="DefaultParagraphFont"/>
    <w:rsid w:val="00EC127F"/>
  </w:style>
  <w:style w:type="character" w:customStyle="1" w:styleId="citation-1019">
    <w:name w:val="citation-1019"/>
    <w:basedOn w:val="DefaultParagraphFont"/>
    <w:rsid w:val="00EC127F"/>
  </w:style>
  <w:style w:type="character" w:customStyle="1" w:styleId="citation-1018">
    <w:name w:val="citation-1018"/>
    <w:basedOn w:val="DefaultParagraphFont"/>
    <w:rsid w:val="00EC127F"/>
  </w:style>
  <w:style w:type="character" w:customStyle="1" w:styleId="citation-1017">
    <w:name w:val="citation-1017"/>
    <w:basedOn w:val="DefaultParagraphFont"/>
    <w:rsid w:val="00EC127F"/>
  </w:style>
  <w:style w:type="character" w:customStyle="1" w:styleId="citation-1016">
    <w:name w:val="citation-1016"/>
    <w:basedOn w:val="DefaultParagraphFont"/>
    <w:rsid w:val="00EC127F"/>
  </w:style>
  <w:style w:type="character" w:customStyle="1" w:styleId="citation-1015">
    <w:name w:val="citation-1015"/>
    <w:basedOn w:val="DefaultParagraphFont"/>
    <w:rsid w:val="00EC127F"/>
  </w:style>
  <w:style w:type="character" w:customStyle="1" w:styleId="citation-1014">
    <w:name w:val="citation-1014"/>
    <w:basedOn w:val="DefaultParagraphFont"/>
    <w:rsid w:val="00EC127F"/>
  </w:style>
  <w:style w:type="character" w:customStyle="1" w:styleId="citation-1013">
    <w:name w:val="citation-1013"/>
    <w:basedOn w:val="DefaultParagraphFont"/>
    <w:rsid w:val="00EC127F"/>
  </w:style>
  <w:style w:type="character" w:customStyle="1" w:styleId="citation-1012">
    <w:name w:val="citation-1012"/>
    <w:basedOn w:val="DefaultParagraphFont"/>
    <w:rsid w:val="00EC127F"/>
  </w:style>
  <w:style w:type="character" w:customStyle="1" w:styleId="citation-1011">
    <w:name w:val="citation-1011"/>
    <w:basedOn w:val="DefaultParagraphFont"/>
    <w:rsid w:val="00EC127F"/>
  </w:style>
  <w:style w:type="character" w:customStyle="1" w:styleId="citation-1010">
    <w:name w:val="citation-1010"/>
    <w:basedOn w:val="DefaultParagraphFont"/>
    <w:rsid w:val="00EC127F"/>
  </w:style>
  <w:style w:type="character" w:customStyle="1" w:styleId="citation-1009">
    <w:name w:val="citation-1009"/>
    <w:basedOn w:val="DefaultParagraphFont"/>
    <w:rsid w:val="00EC127F"/>
  </w:style>
  <w:style w:type="character" w:customStyle="1" w:styleId="citation-1008">
    <w:name w:val="citation-1008"/>
    <w:basedOn w:val="DefaultParagraphFont"/>
    <w:rsid w:val="00EC127F"/>
  </w:style>
  <w:style w:type="character" w:customStyle="1" w:styleId="citation-1007">
    <w:name w:val="citation-1007"/>
    <w:basedOn w:val="DefaultParagraphFont"/>
    <w:rsid w:val="00EC127F"/>
  </w:style>
  <w:style w:type="character" w:customStyle="1" w:styleId="citation-1006">
    <w:name w:val="citation-1006"/>
    <w:basedOn w:val="DefaultParagraphFont"/>
    <w:rsid w:val="00EC127F"/>
  </w:style>
  <w:style w:type="character" w:customStyle="1" w:styleId="citation-1005">
    <w:name w:val="citation-1005"/>
    <w:basedOn w:val="DefaultParagraphFont"/>
    <w:rsid w:val="00EC127F"/>
  </w:style>
  <w:style w:type="character" w:customStyle="1" w:styleId="citation-1004">
    <w:name w:val="citation-1004"/>
    <w:basedOn w:val="DefaultParagraphFont"/>
    <w:rsid w:val="00EC127F"/>
  </w:style>
  <w:style w:type="character" w:customStyle="1" w:styleId="citation-1003">
    <w:name w:val="citation-1003"/>
    <w:basedOn w:val="DefaultParagraphFont"/>
    <w:rsid w:val="00EC127F"/>
  </w:style>
  <w:style w:type="character" w:customStyle="1" w:styleId="citation-1002">
    <w:name w:val="citation-1002"/>
    <w:basedOn w:val="DefaultParagraphFont"/>
    <w:rsid w:val="00EC127F"/>
  </w:style>
  <w:style w:type="character" w:customStyle="1" w:styleId="citation-1001">
    <w:name w:val="citation-1001"/>
    <w:basedOn w:val="DefaultParagraphFont"/>
    <w:rsid w:val="00EC127F"/>
  </w:style>
  <w:style w:type="character" w:customStyle="1" w:styleId="citation-1000">
    <w:name w:val="citation-1000"/>
    <w:basedOn w:val="DefaultParagraphFont"/>
    <w:rsid w:val="00EC127F"/>
  </w:style>
  <w:style w:type="character" w:customStyle="1" w:styleId="citation-999">
    <w:name w:val="citation-999"/>
    <w:basedOn w:val="DefaultParagraphFont"/>
    <w:rsid w:val="00EC127F"/>
  </w:style>
  <w:style w:type="character" w:customStyle="1" w:styleId="citation-998">
    <w:name w:val="citation-998"/>
    <w:basedOn w:val="DefaultParagraphFont"/>
    <w:rsid w:val="00EC127F"/>
  </w:style>
  <w:style w:type="character" w:customStyle="1" w:styleId="citation-997">
    <w:name w:val="citation-997"/>
    <w:basedOn w:val="DefaultParagraphFont"/>
    <w:rsid w:val="00EC127F"/>
  </w:style>
  <w:style w:type="character" w:customStyle="1" w:styleId="citation-996">
    <w:name w:val="citation-996"/>
    <w:basedOn w:val="DefaultParagraphFont"/>
    <w:rsid w:val="00EC127F"/>
  </w:style>
  <w:style w:type="character" w:customStyle="1" w:styleId="citation-995">
    <w:name w:val="citation-995"/>
    <w:basedOn w:val="DefaultParagraphFont"/>
    <w:rsid w:val="00EC127F"/>
  </w:style>
  <w:style w:type="character" w:customStyle="1" w:styleId="citation-994">
    <w:name w:val="citation-994"/>
    <w:basedOn w:val="DefaultParagraphFont"/>
    <w:rsid w:val="00EC127F"/>
  </w:style>
  <w:style w:type="character" w:customStyle="1" w:styleId="citation-993">
    <w:name w:val="citation-993"/>
    <w:basedOn w:val="DefaultParagraphFont"/>
    <w:rsid w:val="00EC127F"/>
  </w:style>
  <w:style w:type="character" w:customStyle="1" w:styleId="citation-992">
    <w:name w:val="citation-992"/>
    <w:basedOn w:val="DefaultParagraphFont"/>
    <w:rsid w:val="00EC127F"/>
  </w:style>
  <w:style w:type="character" w:styleId="PlaceholderText">
    <w:name w:val="Placeholder Text"/>
    <w:basedOn w:val="DefaultParagraphFont"/>
    <w:uiPriority w:val="99"/>
    <w:semiHidden/>
    <w:rsid w:val="00EC127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784</Words>
  <Characters>4386</Characters>
  <Application>Microsoft Office Word</Application>
  <DocSecurity>0</DocSecurity>
  <Lines>182</Lines>
  <Paragraphs>123</Paragraphs>
  <ScaleCrop>false</ScaleCrop>
  <Company/>
  <LinksUpToDate>false</LinksUpToDate>
  <CharactersWithSpaces>5047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Yu-Hung Kung</dc:creator>
  <cp:keywords/>
  <dc:description/>
  <cp:lastModifiedBy>Yu-Hung Kung</cp:lastModifiedBy>
  <cp:revision>1</cp:revision>
  <dcterms:created xsi:type="dcterms:W3CDTF">2025-12-08T01:53:00Z</dcterms:created>
  <dcterms:modified xsi:type="dcterms:W3CDTF">2025-12-08T02:16:00Z</dcterms:modified>
</cp:coreProperties>
</file>