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before="2000" w:after="300"/>
        <w:jc w:val="center"/>
      </w:pPr>
      <w:r>
        <w:t xml:space="preserve">Manual_Farma</w:t>
      </w:r>
    </w:p>
    <w:p>
      <w:pPr>
        <w:spacing w:after="2000"/>
        <w:jc w:val="center"/>
        <w:rPr>
          <w:color w:val="555555"/>
          <w:sz w:val="32"/>
          <w:szCs w:val="32"/>
        </w:rPr>
      </w:pPr>
      <w:r>
        <w:t xml:space="preserve">Guía Oficial de Usuario</w:t>
      </w:r>
    </w:p>
    <w:p>
      <w:pPr>
        <w:jc w:val="center"/>
      </w:pPr>
      <w:r>
        <w:rPr>
          <w:b/>
          <w:bCs/>
          <w:sz w:val="28"/>
          <w:szCs w:val="28"/>
        </w:rPr>
        <w:t xml:space="preserve">Sistema de Gestión Farmacorp</w:t>
      </w:r>
    </w:p>
    <w:p>
      <w:pPr>
        <w:pageBreakBefore/>
      </w:pPr>
    </w:p>
    <w:p>
      <w:pPr>
        <w:pStyle w:val="Heading1"/>
        <w:spacing w:before="200" w:after="200"/>
        <w:rPr>
          <w:b/>
          <w:bCs/>
          <w:color w:val="2E74B5"/>
          <w:sz w:val="36"/>
          <w:szCs w:val="36"/>
        </w:rPr>
      </w:pPr>
      <w:r>
        <w:t xml:space="preserve">1. Ingreso al Sistema</w:t>
      </w:r>
    </w:p>
    <w:p>
      <w:r>
        <w:t xml:space="preserve">Para acceder, ingrese sus credenciales en la pantalla inicial.</w:t>
      </w:r>
    </w:p>
    <w:p>
      <w:pPr>
        <w:spacing w:after="200"/>
      </w:pPr>
      <w:r>
        <w:rPr>
          <w:b/>
          <w:bCs/>
        </w:rPr>
        <w:br/>
        <w:t xml:space="preserve">Usuario: admin</w:t>
      </w:r>
      <w:r>
        <w:rPr>
          <w:b/>
          <w:bCs/>
        </w:rPr>
        <w:br/>
        <w:t xml:space="preserve">Contraseña: admin123</w:t>
      </w:r>
    </w:p>
    <w:p>
      <w:pPr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400" w:after="200"/>
        <w:rPr>
          <w:b/>
          <w:bCs/>
          <w:color w:val="2E74B5"/>
          <w:sz w:val="36"/>
          <w:szCs w:val="36"/>
        </w:rPr>
      </w:pPr>
      <w:r>
        <w:t xml:space="preserve">2. Dashboard</w:t>
      </w:r>
    </w:p>
    <w:p>
      <w:r>
        <w:t xml:space="preserve">Aquí encontrará un resumen ejecutivo:</w:t>
      </w:r>
    </w:p>
    <w:p>
      <w:pPr>
        <w:pStyle w:val="ListParagraph"/>
        <w:numPr>
          <w:ilvl w:val="0"/>
          <w:numId w:val="1"/>
        </w:numPr>
      </w:pPr>
      <w:r>
        <w:t xml:space="preserve">• Ventas del Día y Caja Actual.</w:t>
      </w:r>
    </w:p>
    <w:p>
      <w:pPr>
        <w:pStyle w:val="ListParagraph"/>
        <w:numPr>
          <w:ilvl w:val="0"/>
          <w:numId w:val="1"/>
        </w:numPr>
      </w:pPr>
      <w:r>
        <w:t xml:space="preserve">• Productos con stock bajo.</w:t>
      </w:r>
    </w:p>
    <w:p>
      <w:pPr>
        <w:pStyle w:val="ListParagraph"/>
        <w:numPr>
          <w:ilvl w:val="0"/>
          <w:numId w:val="1"/>
        </w:numPr>
      </w:pPr>
      <w:r>
        <w:t xml:space="preserve">• Gráficos de tendencias.</w:t>
      </w:r>
    </w:p>
    <w:p/>
    <w:p>
      <w:pPr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400" w:after="200"/>
        <w:rPr>
          <w:b/>
          <w:bCs/>
          <w:color w:val="2E74B5"/>
          <w:sz w:val="36"/>
          <w:szCs w:val="36"/>
        </w:rPr>
      </w:pPr>
      <w:r>
        <w:t xml:space="preserve">3. Ventas (POS)</w:t>
      </w:r>
    </w:p>
    <w:p>
      <w:r>
        <w:rPr>
          <w:b/>
          <w:bCs/>
        </w:rPr>
        <w:t xml:space="preserve">Pasos para vender:</w:t>
      </w:r>
    </w:p>
    <w:p>
      <w:pPr>
        <w:pStyle w:val="ListParagraph"/>
        <w:numPr>
          <w:ilvl w:val="0"/>
          <w:numId w:val="1"/>
        </w:numPr>
      </w:pPr>
      <w:r>
        <w:t xml:space="preserve">1. Busque el producto.</w:t>
      </w:r>
    </w:p>
    <w:p>
      <w:pPr>
        <w:pStyle w:val="ListParagraph"/>
        <w:numPr>
          <w:ilvl w:val="0"/>
          <w:numId w:val="1"/>
        </w:numPr>
      </w:pPr>
      <w:r>
        <w:t xml:space="preserve">2. Agréguelo al carrito.</w:t>
      </w:r>
    </w:p>
    <w:p>
      <w:pPr>
        <w:pStyle w:val="ListParagraph"/>
        <w:numPr>
          <w:ilvl w:val="0"/>
          <w:numId w:val="1"/>
        </w:numPr>
      </w:pPr>
      <w:r>
        <w:t xml:space="preserve">3. Confirme el pago.</w:t>
      </w:r>
    </w:p>
    <w:p/>
    <w:p>
      <w:pPr>
        <w:jc w:val="center"/>
      </w:pPr>
      <w:r>
        <w:drawing>
          <wp:inline distT="0" distB="0" distL="0" distR="0">
            <wp:extent cx="3810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792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76" w:before="120" w:after="120"/>
    </w:pPr>
    <w:rPr>
      <w:rFonts w:ascii="Calibri" w:cs="Calibri" w:eastAsia="Calibri" w:hAnsi="Calibri"/>
      <w:sz w:val="22"/>
      <w:szCs w:val="22"/>
    </w:rPr>
  </w:style>
  <w:style w:type="paragraph" w:styleId="Hosting">
    <w:name w:val="Title"/>
    <w:basedOn w:val="Normal"/>
    <w:next w:val="Normal"/>
    <w:rPr>
      <w:rFonts w:ascii="Calibri Light" w:cs="Calibri Light" w:eastAsia="Calibri Light" w:hAnsi="Calibri Light"/>
      <w:b/>
      <w:bCs/>
      <w:color w:val="2E74B5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390561c09e1b2d191afb6de42bfd67971560e90c.undefined"/><Relationship Id="rId7" Type="http://schemas.openxmlformats.org/officeDocument/2006/relationships/image" Target="media/f6618dd9e7271dfc3746a8ad8e2f10c4134b07e2.undefined"/><Relationship Id="rId8" Type="http://schemas.openxmlformats.org/officeDocument/2006/relationships/image" Target="media/2b9ed3b149c52061454b46d7838dcbdf23eb9e83.undefined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2026-01-29T17:31:46.582Z</dcterms:created>
  <dcterms:modified xsi:type="dcterms:W3CDTF">2026-01-29T17:31:46.583Z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