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drawing>
          <wp:inline distT="0" distB="0" distL="0" distR="0">
            <wp:extent cx="476250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spacing w:before="200" w:after="400"/>
        <w:jc w:val="center"/>
      </w:pPr>
      <w:r>
        <w:t xml:space="preserve">ÍNDICE DE CONTENIDO</w:t>
      </w:r>
    </w:p>
    <w:p>
      <w:r>
        <w:t xml:space="preserve">1. Introducción ....................................................................... 3</w:t>
      </w:r>
    </w:p>
    <w:p>
      <w:r>
        <w:t xml:space="preserve">2. Ingreso al Sistema ............................................................. 4</w:t>
      </w:r>
    </w:p>
    <w:p>
      <w:r>
        <w:t xml:space="preserve">3. Panel de Control (Dashboard) ........................................ 5</w:t>
      </w:r>
    </w:p>
    <w:p>
      <w:r>
        <w:t xml:space="preserve">4. Facturación y Ventas ........................................................ 6</w:t>
      </w:r>
    </w:p>
    <w:p>
      <w:r>
        <w:t xml:space="preserve">5. Apertura y Cierre de Caja ................................................. 7</w:t>
      </w:r>
    </w:p>
    <w:p>
      <w:r>
        <w:t xml:space="preserve">6. Reportes y Vencimientos ................................................. 8</w:t>
      </w:r>
    </w:p>
    <w:p>
      <w:pPr>
        <w:pageBreakBefore/>
      </w:pPr>
    </w:p>
    <w:p>
      <w:pPr>
        <w:pStyle w:val="Heading1"/>
        <w:spacing w:before="200" w:after="200"/>
        <w:rPr>
          <w:b/>
          <w:bCs/>
          <w:color w:val="2E74B5"/>
          <w:sz w:val="36"/>
          <w:szCs w:val="36"/>
        </w:rPr>
      </w:pPr>
      <w:r>
        <w:t xml:space="preserve">1. Introducción</w:t>
      </w:r>
    </w:p>
    <w:p>
      <w:r>
        <w:t xml:space="preserve">Bienvenido al manual oficial del Sistema de Farmacias. Este documento le guiará a través de todas las funcionalidades para administrar su negocio de manera eficiente.</w:t>
      </w:r>
    </w:p>
    <w:p>
      <w:pPr>
        <w:pageBreakBefore/>
      </w:pPr>
    </w:p>
    <w:p>
      <w:pPr>
        <w:pStyle w:val="Heading1"/>
        <w:spacing w:before="200" w:after="200"/>
        <w:rPr>
          <w:b/>
          <w:bCs/>
          <w:color w:val="2E74B5"/>
          <w:sz w:val="36"/>
          <w:szCs w:val="36"/>
        </w:rPr>
      </w:pPr>
      <w:r>
        <w:t xml:space="preserve">2. Ingreso al Sistema</w:t>
      </w:r>
    </w:p>
    <w:p>
      <w:r>
        <w:br/>
        <w:t xml:space="preserve">• Usuario: admin</w:t>
      </w:r>
      <w:r>
        <w:br/>
        <w:t xml:space="preserve">• Contraseña: admin123</w:t>
      </w:r>
    </w:p>
    <w:p>
      <w:pPr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spacing w:before="200" w:after="200"/>
        <w:rPr>
          <w:b/>
          <w:bCs/>
          <w:color w:val="2E74B5"/>
          <w:sz w:val="36"/>
          <w:szCs w:val="36"/>
        </w:rPr>
      </w:pPr>
      <w:r>
        <w:t xml:space="preserve">3. Panel de Control</w:t>
      </w:r>
    </w:p>
    <w:p>
      <w:r>
        <w:t xml:space="preserve">Visualice métricas clave en tiempo real.</w:t>
      </w:r>
    </w:p>
    <w:p>
      <w:pPr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spacing w:before="200" w:after="200"/>
        <w:rPr>
          <w:b/>
          <w:bCs/>
          <w:color w:val="2E74B5"/>
          <w:sz w:val="36"/>
          <w:szCs w:val="36"/>
        </w:rPr>
      </w:pPr>
      <w:r>
        <w:t xml:space="preserve">4. Facturación y Ventas</w:t>
      </w:r>
    </w:p>
    <w:p>
      <w:r>
        <w:t xml:space="preserve">Proceso rápido de venta:</w:t>
      </w:r>
    </w:p>
    <w:p>
      <w:pPr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Generación automática de factura:</w:t>
      </w:r>
    </w:p>
    <w:p>
      <w:pPr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spacing w:before="200" w:after="200"/>
        <w:rPr>
          <w:b/>
          <w:bCs/>
          <w:color w:val="2E74B5"/>
          <w:sz w:val="36"/>
          <w:szCs w:val="36"/>
        </w:rPr>
      </w:pPr>
      <w:r>
        <w:t xml:space="preserve">5. Apertura y Cierre de Caja</w:t>
      </w:r>
    </w:p>
    <w:p>
      <w:r>
        <w:t xml:space="preserve">Control estricto de efectivo por turnos.</w:t>
      </w:r>
    </w:p>
    <w:p>
      <w:pPr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spacing w:before="200" w:after="200"/>
        <w:rPr>
          <w:b/>
          <w:bCs/>
          <w:color w:val="2E74B5"/>
          <w:sz w:val="36"/>
          <w:szCs w:val="36"/>
        </w:rPr>
      </w:pPr>
      <w:r>
        <w:t xml:space="preserve">6. Reportes y Vencimientos</w:t>
      </w:r>
    </w:p>
    <w:p>
      <w:r>
        <w:t xml:space="preserve">Gestión de inventario y alertas de caducidad.</w:t>
      </w:r>
    </w:p>
    <w:p>
      <w:pPr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792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 w:before="120" w:after="12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fe895b048ebb7b27d5b457ad4aa04ecb96ad92a.undefined"/><Relationship Id="rId7" Type="http://schemas.openxmlformats.org/officeDocument/2006/relationships/image" Target="media/390561c09e1b2d191afb6de42bfd67971560e90c.undefined"/><Relationship Id="rId8" Type="http://schemas.openxmlformats.org/officeDocument/2006/relationships/image" Target="media/f6618dd9e7271dfc3746a8ad8e2f10c4134b07e2.undefined"/><Relationship Id="rId9" Type="http://schemas.openxmlformats.org/officeDocument/2006/relationships/image" Target="media/2b9ed3b149c52061454b46d7838dcbdf23eb9e83.undefined"/><Relationship Id="rId10" Type="http://schemas.openxmlformats.org/officeDocument/2006/relationships/image" Target="media/dbec4abad114cfeb7db0da026b68530abce6a08a.undefined"/><Relationship Id="rId11" Type="http://schemas.openxmlformats.org/officeDocument/2006/relationships/image" Target="media/3976457f74b2496493e7a8a76edc1bfca14eb93e.undefined"/><Relationship Id="rId12" Type="http://schemas.openxmlformats.org/officeDocument/2006/relationships/image" Target="media/838872271cc58056ce0d41b9cf2f069c49f123b0.undefined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2026-01-29T17:40:17.631Z</dcterms:created>
  <dcterms:modified xsi:type="dcterms:W3CDTF">2026-01-29T17:40:17.633Z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