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F6A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0" w:beforeAutospacing="0" w:after="64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32"/>
          <w:szCs w:val="32"/>
        </w:rPr>
      </w:pPr>
      <w:bookmarkStart w:id="0" w:name="_GoBack"/>
      <w:bookmarkEnd w:id="0"/>
    </w:p>
    <w:p w14:paraId="494FD846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80" w:lineRule="atLeast"/>
        <w:ind w:left="0" w:right="0" w:firstLine="0"/>
        <w:rPr>
          <w:rFonts w:ascii="Helvetica Neue" w:hAnsi="Helvetica Neue" w:eastAsia="Helvetica Neue" w:cs="Helvetica Neue"/>
          <w:b/>
          <w:bCs/>
          <w:caps w:val="0"/>
          <w:color w:val="0F1115"/>
          <w:spacing w:val="0"/>
          <w:sz w:val="48"/>
          <w:szCs w:val="48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8"/>
          <w:szCs w:val="48"/>
          <w:shd w:val="clear" w:fill="FFFFFF"/>
        </w:rPr>
        <w:t>系统总体技术架构设计（适配Trae开发）</w:t>
      </w:r>
    </w:p>
    <w:p w14:paraId="11C04E53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1. 设计原则</w:t>
      </w:r>
    </w:p>
    <w:p w14:paraId="3ABC0E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004AF6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高可用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：系统可用性≥99.99%，核心服务异地多活，故障自动切换。</w:t>
      </w:r>
    </w:p>
    <w:p w14:paraId="238BF9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5BF74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5850F41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高并发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：单门店并发请求≥1000/s，支付接口响应≤2s，支持弹性扩容。</w:t>
      </w:r>
    </w:p>
    <w:p w14:paraId="51F45C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395CC1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39F2BA0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数据一致性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：跨模块数据一致性校验异常率≤0.001%，关键业务采用分布式事务（Seata）。</w:t>
      </w:r>
    </w:p>
    <w:p w14:paraId="3599FB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4B5220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3E20016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安全性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：传输层TLS 1.3加密，存储层AES-256加密，符合等保2.0三级+、GDPR。</w:t>
      </w:r>
    </w:p>
    <w:p w14:paraId="022EE6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3C8683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1C103E3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可扩展性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：插件化架构，新增模块无需修改核心代码，支持多语言、多区域快速部署。</w:t>
      </w:r>
    </w:p>
    <w:p w14:paraId="441045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5F869A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3F4CB76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可观测性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：全链路追踪、日志聚合、指标监控，支持混沌工程演练。</w:t>
      </w:r>
    </w:p>
    <w:p w14:paraId="777F89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6EB66BFC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2. 总体架构分层</w:t>
      </w:r>
    </w:p>
    <w:p w14:paraId="3CE9EB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text</w:t>
      </w:r>
    </w:p>
    <w:p w14:paraId="38B5F5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┌─────────────────────────────────────────────────────────────┐│                     客户端层（小程序/H5/PC）                 │└─────────────────────────────────────────────────────────────┘                              │                              ▼┌─────────────────────────────────────────────────────────────┐│                    统一接入层（API网关/CDN/负载均衡）        │└─────────────────────────────────────────────────────────────┘                              │                              ▼┌─────────────────────────────────────────────────────────────┐│                    业务中台层（微服务集群）                   ││  ┌────────────┐ ┌────────────┐ ┌────────────┐ ┌──────────┐ ││  │ 用户/会员  │ │ 订单/预约  │ │ 盲盒/NFT   │ │ KOC/营销 │ ││  └────────────┘ └────────────┘ └────────────┘ └──────────┘ ││  ┌────────────┐ ┌────────────┐ ┌────────────┐ ┌──────────┐ ││  │ 门店管理   │ │ 设备硬件   │ │ 支付/财务  │ │ 供应链   │ ││  └────────────┘ └────────────┘ └────────────┘ └──────────┘ │└─────────────────────────────────────────────────────────────┘                              │                              ▼┌─────────────────────────────────────────────────────────────┐│                     技术底座层（AI/语言/通讯/数据）           ││  ┌────────────┐ ┌────────────┐ ┌────────────┐ ┌──────────┐ ││  │ AI底座     │ │ 语言底座   │ │ 通讯社媒   │ │ 数据中台 │ ││  └────────────┘ └────────────┘ └────────────┘ └──────────┘ │└─────────────────────────────────────────────────────────────┘                              │                              ▼┌─────────────────────────────────────────────────────────────┐│                    基础设施层（数据库/消息/存储/监控）        │└─────────────────────────────────────────────────────────────┘</w:t>
      </w:r>
    </w:p>
    <w:p w14:paraId="1BD8838C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3. 技术栈选型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8"/>
        <w:gridCol w:w="1641"/>
        <w:gridCol w:w="4092"/>
        <w:gridCol w:w="2115"/>
      </w:tblGrid>
      <w:tr w14:paraId="0FA0D214"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1E76985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层次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C5B7708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组件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8E8365A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技术选型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4E5D761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540C75BC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38EEE51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客户端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DCF2CE2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小程序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E4D69A3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微信小程序 / 支付宝小程序 / 抖音小程序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62DA11C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多端复用，采用uni-app</w:t>
            </w:r>
          </w:p>
        </w:tc>
      </w:tr>
      <w:tr w14:paraId="214D95CB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668B3D0">
            <w:pPr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29C4B1F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H5/PC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84049D0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Vue3 + TypeScript + Vuetify/Element Plus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F443BF5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官网、后台管理</w:t>
            </w:r>
          </w:p>
        </w:tc>
      </w:tr>
      <w:tr w14:paraId="4ABBA2AB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645920D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统一接入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C4ACCA2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网关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7FED57F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Spring Cloud Gateway + Nginx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084D988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路由、限流、认证</w:t>
            </w:r>
          </w:p>
        </w:tc>
      </w:tr>
      <w:tr w14:paraId="72C41760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D158A34">
            <w:pPr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8F4EB43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CDN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F5459FF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阿里云CDN / CloudFlare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51EE06F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静态资源加速</w:t>
            </w:r>
          </w:p>
        </w:tc>
      </w:tr>
      <w:tr w14:paraId="67197DA1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08CC11E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业务中台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64D8F4C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微服务框架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BE0225A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Spring Boot 3.x + Spring Cloud Alibaba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5BC7EE0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服务注册/配置（Nacos）</w:t>
            </w:r>
          </w:p>
        </w:tc>
      </w:tr>
      <w:tr w14:paraId="4783EDCF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3D40AC3">
            <w:pPr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6BFAF3C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服务通信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7293E8E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OpenFeign + gRPC（内部高并发）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EFC4275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同步调用</w:t>
            </w:r>
          </w:p>
        </w:tc>
      </w:tr>
      <w:tr w14:paraId="6C4E3DAE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FEF7F73">
            <w:pPr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771020F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消息队列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D065F0E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Apache Kafka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D60B88C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异步解耦、流处理</w:t>
            </w:r>
          </w:p>
        </w:tc>
      </w:tr>
      <w:tr w14:paraId="50D11343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F010D1C">
            <w:pPr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394A280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分布式事务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E4B4801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Seata（AT模式）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A5E9D6E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关键业务一致性</w:t>
            </w:r>
          </w:p>
        </w:tc>
      </w:tr>
      <w:tr w14:paraId="63B7D4FE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DE416EE">
            <w:pPr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47C8E1A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任务调度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C305D00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XXL-JOB / Quartz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585504F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定时任务</w:t>
            </w:r>
          </w:p>
        </w:tc>
      </w:tr>
      <w:tr w14:paraId="25B5432F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55CDABA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技术底座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137F6D6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AI底座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0A576E1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Python + TensorFlow/PyTorch + Kubeflow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6F7BC8E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模型训练、推理</w:t>
            </w:r>
          </w:p>
        </w:tc>
      </w:tr>
      <w:tr w14:paraId="30872636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3390331">
            <w:pPr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1285D07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语言底座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E0E6021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Spring Boot + 第三方翻译API（DeepL/Google）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D69ECDF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多语言管理</w:t>
            </w:r>
          </w:p>
        </w:tc>
      </w:tr>
      <w:tr w14:paraId="2786EDB4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D5361EA">
            <w:pPr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72E6249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通讯社媒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706B407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Spring Integration + 各平台SDK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A2A42DB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企微、抖音、FB等</w:t>
            </w:r>
          </w:p>
        </w:tc>
      </w:tr>
      <w:tr w14:paraId="29BEDEBE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0B6AD09">
            <w:pPr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F905D1D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数据中台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5C79EE9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Hudi/Iceberg + Flink + ClickHouse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543E605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数据湖、实时数仓</w:t>
            </w:r>
          </w:p>
        </w:tc>
      </w:tr>
      <w:tr w14:paraId="4EC6FAF0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3D1D030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基础设施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7CCAFCF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89CAF29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MySQL 8.0（分库分表）+ Redis 7.0 + InfluxDB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B6F8778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业务、缓存、时序</w:t>
            </w:r>
          </w:p>
        </w:tc>
      </w:tr>
      <w:tr w14:paraId="6063FF48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CA4E2D0">
            <w:pPr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2199280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搜索引擎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774A83C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Elasticsearch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C03F10B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日志、检索</w:t>
            </w:r>
          </w:p>
        </w:tc>
      </w:tr>
      <w:tr w14:paraId="76E0A01A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542CE91">
            <w:pPr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6C991F8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对象存储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07D3401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阿里云OSS / AWS S3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D9247D2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图片、文件</w:t>
            </w:r>
          </w:p>
        </w:tc>
      </w:tr>
      <w:tr w14:paraId="56BFA0A0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B2F2D39">
            <w:pPr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FFF7C5D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监控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8EC6127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Prometheus + Grafana + SkyWalking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D5A819B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指标、链路</w:t>
            </w:r>
          </w:p>
        </w:tc>
      </w:tr>
      <w:tr w14:paraId="344201F2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1B45B6A">
            <w:pPr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E88AAF0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日志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BA96010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ELK（Elasticsearch + Logstash + Kibana）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4B2687D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日志聚合</w:t>
            </w:r>
          </w:p>
        </w:tc>
      </w:tr>
    </w:tbl>
    <w:p w14:paraId="4E895135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4. 微服务划分（核心服务列表）</w:t>
      </w:r>
    </w:p>
    <w:tbl>
      <w:tblPr>
        <w:tblW w:w="150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50"/>
        <w:gridCol w:w="7273"/>
        <w:gridCol w:w="3917"/>
      </w:tblGrid>
      <w:tr w14:paraId="5BFE03DE"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9F3B2CE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服务名称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1E3A9C5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主要功能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419A0FC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依赖底座</w:t>
            </w:r>
          </w:p>
        </w:tc>
      </w:tr>
      <w:tr w14:paraId="7FCF0FEC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27B2CFD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user-service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BFA4A0E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用户注册、登录、会员等级、积分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05F1BBB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语言底座</w:t>
            </w:r>
          </w:p>
        </w:tc>
      </w:tr>
      <w:tr w14:paraId="179300E1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9EEA011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order-service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7C5EEDF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预约订单、核销、支付流水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7A05A13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财务底座</w:t>
            </w:r>
          </w:p>
        </w:tc>
      </w:tr>
      <w:tr w14:paraId="00E8C6CD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1A28EF1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product-service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74FA726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盲盒、NFT、商品管理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847C099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AI底座（推荐）</w:t>
            </w:r>
          </w:p>
        </w:tc>
      </w:tr>
      <w:tr w14:paraId="48BFBC5E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931356C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store-service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59768A1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门店信息、项目、排班、设备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ED43F70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硬件联动</w:t>
            </w:r>
          </w:p>
        </w:tc>
      </w:tr>
      <w:tr w14:paraId="3631133D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A5737B4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marketing-service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8B7E396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活动、优惠券、KOC任务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EFC88CC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AI底座、通讯社媒</w:t>
            </w:r>
          </w:p>
        </w:tc>
      </w:tr>
      <w:tr w14:paraId="1F8CE850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BE39906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finance-service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E22315B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会计核算、税务、资金、成本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ECD6B8A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财务底座</w:t>
            </w:r>
          </w:p>
        </w:tc>
      </w:tr>
      <w:tr w14:paraId="3FA6C6CF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92A821F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koc-service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BC43AA1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KOC等级、收益、素材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5FAD323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AI底座、通讯社媒</w:t>
            </w:r>
          </w:p>
        </w:tc>
      </w:tr>
      <w:tr w14:paraId="49990C94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C81804D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crm-service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2C9A89D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客户360、标签、自动化营销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E37C3E7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数据中台</w:t>
            </w:r>
          </w:p>
        </w:tc>
      </w:tr>
      <w:tr w14:paraId="795D7356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5E1D3CB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i18n-service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B872F4B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区域识别、语言包管理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18A70FB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语言底座</w:t>
            </w:r>
          </w:p>
        </w:tc>
      </w:tr>
      <w:tr w14:paraId="30D3FA82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8066C40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social-service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DEEBF31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社媒账号、消息路由、内容分发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F056557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通讯社媒</w:t>
            </w:r>
          </w:p>
        </w:tc>
      </w:tr>
      <w:tr w14:paraId="63230825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ACD192E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hardware-service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250C678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设备接入、监控、工单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841363A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硬件联动</w:t>
            </w:r>
          </w:p>
        </w:tc>
      </w:tr>
      <w:tr w14:paraId="6C57ADBC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A4B098F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data-platform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3C11C1B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数据采集、清洗、服务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620F403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数据中台</w:t>
            </w:r>
          </w:p>
        </w:tc>
      </w:tr>
      <w:tr w14:paraId="10F9C018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48EDA20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system-service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1E5E4A3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租户、权限、审计、配置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82081EE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-</w:t>
            </w:r>
          </w:p>
        </w:tc>
      </w:tr>
    </w:tbl>
    <w:p w14:paraId="34C44A4B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5. 数据架构设计</w:t>
      </w:r>
    </w:p>
    <w:p w14:paraId="41BBEE15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5.1 多租户数据隔离</w:t>
      </w:r>
    </w:p>
    <w:p w14:paraId="6EE7D7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519A488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采用“独立Schema”模式，每个门店（租户）拥有独立的数据库Schema。</w:t>
      </w:r>
    </w:p>
    <w:p w14:paraId="116A16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07D7A3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7ADCEA5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核心共享数据（如用户基础信息）通过用户中心统一管理，跨租户访问需严格权限控制。</w:t>
      </w:r>
    </w:p>
    <w:p w14:paraId="741181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7F509E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315707A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数据备份：每日全量 + 每小时增量，RPO≤15分钟，RTO≤1小时。</w:t>
      </w:r>
    </w:p>
    <w:p w14:paraId="5C1A87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1CE5ABEB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5.2 分布式事务方案</w:t>
      </w:r>
    </w:p>
    <w:p w14:paraId="43C019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3FF93E5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对于跨服务的关键业务（如支付→积分→NFT发放），采用Seata AT模式，确保最终一致性。</w:t>
      </w:r>
    </w:p>
    <w:p w14:paraId="4B8442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3BA915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65CB549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对于非核心业务，采用TCC或可靠消息（Kafka）保证最终一致性。</w:t>
      </w:r>
    </w:p>
    <w:p w14:paraId="22A7CA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679D3BAF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5.3 数据中台分层</w:t>
      </w:r>
    </w:p>
    <w:tbl>
      <w:tblPr>
        <w:tblW w:w="150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0"/>
        <w:gridCol w:w="3500"/>
        <w:gridCol w:w="9870"/>
      </w:tblGrid>
      <w:tr w14:paraId="61A316C7"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5857BD7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层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327FF64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A054DDC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9250690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2F16889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ODS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80E4E8D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操作数据层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7FC0DAD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实时采集各业务库数据，存入Hudi/Iceberg</w:t>
            </w:r>
          </w:p>
        </w:tc>
      </w:tr>
      <w:tr w14:paraId="5C1D8056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F460C44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DWD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4A67512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明细数据层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589D854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清洗、脱敏、标准化后的明细数据</w:t>
            </w:r>
          </w:p>
        </w:tc>
      </w:tr>
      <w:tr w14:paraId="74416E2F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B8943F7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DWS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E046BEE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汇总数据层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18CCEEF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按主题（会员、订单、设备）的轻度汇总</w:t>
            </w:r>
          </w:p>
        </w:tc>
      </w:tr>
      <w:tr w14:paraId="3BB569B6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C10B44F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ADS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72D36C7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应用数据层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30CCF31">
            <w:pPr>
              <w:keepNext w:val="0"/>
              <w:keepLines w:val="0"/>
              <w:widowControl/>
              <w:suppressLineNumbers w:val="0"/>
              <w:spacing w:line="500" w:lineRule="atLeast"/>
              <w:jc w:val="left"/>
              <w:rPr>
                <w:rFonts w:hint="default" w:ascii="Helvetica Neue" w:hAnsi="Helvetica Neue" w:eastAsia="Helvetica Neue" w:cs="Helvetica Neue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面向具体业务需求的报表、大屏数据</w:t>
            </w:r>
          </w:p>
        </w:tc>
      </w:tr>
    </w:tbl>
    <w:p w14:paraId="5896876B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6. 安全架构设计</w:t>
      </w:r>
    </w:p>
    <w:p w14:paraId="6CA3E6B7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6.1 网络安全</w:t>
      </w:r>
    </w:p>
    <w:p w14:paraId="62196F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02CB9AF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全站启用HTTPS，TLS 1.3加密。</w:t>
      </w:r>
    </w:p>
    <w:p w14:paraId="79DA8C5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2DDB97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544D376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API网关统一认证（JWT + OAuth2），支持多因素认证（MFA）。</w:t>
      </w:r>
    </w:p>
    <w:p w14:paraId="1945A308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12533BF5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2768CDF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内部服务间通信采用mTLS，防止中间人攻击。</w:t>
      </w:r>
    </w:p>
    <w:p w14:paraId="5F4291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3C8B0F69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6.2 数据安全</w:t>
      </w:r>
    </w:p>
    <w:p w14:paraId="4BAB1E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1209B76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敏感数据（手机号、身份证、支付信息）存储加密（AES-256），传输加密。</w:t>
      </w:r>
    </w:p>
    <w:p w14:paraId="4D5635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4BFB7D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0F91D89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数据脱敏：API返回时根据用户权限自动脱敏（如手机号中间4位****）。</w:t>
      </w:r>
    </w:p>
    <w:p w14:paraId="3B1F22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67D873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2C82219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审计日志：所有关键操作记录日志，保存10年，支持区块链存证。</w:t>
      </w:r>
    </w:p>
    <w:p w14:paraId="6E8396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0D70BF13">
      <w:pPr>
        <w:pStyle w:val="4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6.3 合规性</w:t>
      </w:r>
    </w:p>
    <w:p w14:paraId="1E8B75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5F3A751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符合GDPR、CCPA、PIPL要求，支持数据主体权利（访问、删除、更正）。</w:t>
      </w:r>
    </w:p>
    <w:p w14:paraId="41D76D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599D57EA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43CCA55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多区域数据主权：国内数据存储于阿里云（北京/上海），海外数据存储于AWS（法兰克福/弗吉尼亚）。</w:t>
      </w:r>
    </w:p>
    <w:p w14:paraId="34FDB7C1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4A4A99D7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7. 部署架构</w:t>
      </w:r>
    </w:p>
    <w:p w14:paraId="714A8E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3F1FF74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容器化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：所有微服务打包为Docker镜像，使用Kubernetes编排。</w:t>
      </w:r>
    </w:p>
    <w:p w14:paraId="4247FF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658BEF04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3CE1B0A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多集群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：国内、海外分别部署K8s集群，实现就近访问。</w:t>
      </w:r>
    </w:p>
    <w:p w14:paraId="0325A563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2FC48535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2C76EDA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弹性伸缩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：根据CPU/内存/QPS自动扩缩容，高峰期支持快速增加实例。</w:t>
      </w:r>
    </w:p>
    <w:p w14:paraId="1B32659E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7F3A73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12FDFF3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灾备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：异地多活部署，故障自动切换≤30s。</w:t>
      </w:r>
    </w:p>
    <w:p w14:paraId="2F875D0C">
      <w:pPr>
        <w:keepNext w:val="0"/>
        <w:keepLines w:val="0"/>
        <w:widowControl/>
        <w:numPr>
          <w:ilvl w:val="0"/>
          <w:numId w:val="7"/>
        </w:numPr>
        <w:suppressLineNumbers w:val="0"/>
        <w:spacing w:before="120" w:beforeAutospacing="0" w:after="0" w:afterAutospacing="1"/>
        <w:ind w:left="0" w:hanging="360"/>
      </w:pPr>
    </w:p>
    <w:p w14:paraId="6A4C6C2F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8. 开发与运维规范</w:t>
      </w:r>
    </w:p>
    <w:p w14:paraId="4398887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3F55E38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代码管理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：Git + GitFlow分支策略，PR代码审查。</w:t>
      </w:r>
    </w:p>
    <w:p w14:paraId="4E8AC2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4B541685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0D46BC8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CI/CD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：GitHub Actions / GitLab CI，自动化构建、测试、部署。</w:t>
      </w:r>
    </w:p>
    <w:p w14:paraId="5002060A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68823979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2A3B817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监控告警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：Prometheus + Alertmanager，关键指标告警（如QPS突降、错误率&gt;1%）。</w:t>
      </w:r>
    </w:p>
    <w:p w14:paraId="2126C2B6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26740C3D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3E9FEE7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日志追踪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：SkyWalking全链路追踪，ELK日志分析。</w:t>
      </w:r>
    </w:p>
    <w:p w14:paraId="292C7EDB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5D315ED8">
      <w:pPr>
        <w:keepNext w:val="0"/>
        <w:keepLines w:val="0"/>
        <w:widowControl/>
        <w:suppressLineNumbers w:val="0"/>
        <w:jc w:val="left"/>
      </w:pPr>
    </w:p>
    <w:p w14:paraId="56DE6CD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FEF5AC"/>
    <w:multiLevelType w:val="multilevel"/>
    <w:tmpl w:val="A7FEF5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7BE506F"/>
    <w:multiLevelType w:val="multilevel"/>
    <w:tmpl w:val="F7BE50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D7F9B7E"/>
    <w:multiLevelType w:val="multilevel"/>
    <w:tmpl w:val="FD7F9B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DFDCEB7"/>
    <w:multiLevelType w:val="multilevel"/>
    <w:tmpl w:val="FDFDCE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FFEA1D3"/>
    <w:multiLevelType w:val="multilevel"/>
    <w:tmpl w:val="4FFEA1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5562AA3"/>
    <w:multiLevelType w:val="multilevel"/>
    <w:tmpl w:val="75562A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BFE6B93"/>
    <w:multiLevelType w:val="multilevel"/>
    <w:tmpl w:val="7BFE6B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ED629DE"/>
    <w:multiLevelType w:val="multilevel"/>
    <w:tmpl w:val="7ED629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7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2785DC"/>
    <w:rsid w:val="33278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2026-02-28T04:00:00Z</dcterms:created>
  <dc:creator>姚运忠:史可威CEO_唱够MV投资人</dc:creator>
  <cp:lastModifiedBy>姚运忠:史可威CEO_唱够MV投资人</cp:lastModifiedBy>
  <dcterms:modified xsi:type="dcterms:W3CDTF">2026-02-28T04:01:41Z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76246D2DB39CFDB3C9F7A1694F987394_41</vt:lpwstr>
  </property>
</Properties>
</file>