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733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财务底座详细设计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1. 模块概述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模块名称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：财务底座（Finance Platform）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服务名称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`finance-platform-service`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核心功能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：为全系统提供统一的业财税一体化处理能力，包括会计核算、税务管理、发票管理、资金管理、成本核算、AI税务筹划、财务风控。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技术栈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：Spring Boot + MySQL + Redis + Kafka + Drools + Python（AI模型）+ 第三方税务平台（百望、票通）+ 银企直连（SAP Multi-Bank）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2. 模块架构</w:t>
      </w:r>
    </w:p>
    <w:p w14:paraId="0AD72705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业务模块调用层（订单/采购/薪酬等）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API网关层（统一入口）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财务底座核心服务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会计核算服务 │ │ 税务管理服务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发票管理服务 │ │ 资金管理服务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成本核算服务 │ │ 财务风控服务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AI税务筹划服务 │ │ 汇率服务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数据层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┌────────────┐ ┌────────────┐ ┌────────────┐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会计科目 │ │ 凭证 │ │ 税务申报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(MySQL) │ │ (MySQL) │ │ (MySQL)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└────────────┘ └────────────┘ └────────────┘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┌────────────┐ ┌────────────┐ ┌────────────┐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发票 │ │ 银行流水 │ │ 成本数据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(MySQL) │ │ (MySQL) │ │ (MySQL)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└────────────┘ └────────────┘ └────────────┘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┌────────────┐ ┌────────────┐ ┌────────────┐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风控预警 │ │ 汇率缓存 │ │ 审计日志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(MySQL) │ │ (Redis) │ │ (MySQL)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└────────────┘ └────────────┘ └────────────┘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</w:p>
    <w:p w14:paraId="1B48A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02673A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## 3. 核心组件设计### 3.1 会计核算服务- **功能**：自动将业务单据转换为会计凭证，支持多会计准则（国内准则、IFRS、US GAAP），提供凭证管理、总账查询、财务报表生成。- **设计要点**：  - 规则引擎：基于Drools定义凭证生成规则（如销售收入确认：借：银行存款，贷：主营业务收入）。  - 科目映射：根据门店所在国家自动选择对应的会计科目。  - 凭证审核：支持多级审核，已审核凭证不可修改，需红冲处理。  - 总账：实时更新科目余额，支持按期间查询。- **关键接口**：  ```json  POST /api/finance/vouchers/generate (内部调用)  {    "sourceType": "order",    "sourceId": 12345,    "data": { ... }  }  GET /api/finance/general-ledger?accountCode=1001&amp;startDate=2025-03-01&amp;endDate=2025-03-31</w:t>
      </w:r>
    </w:p>
    <w:p w14:paraId="134423C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表：account（科目）已在数据库设计中给出</w:t>
      </w:r>
    </w:p>
    <w:p w14:paraId="6D9E3AB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表：voucher（凭证）已在数据库设计中给出</w:t>
      </w:r>
    </w:p>
    <w:p w14:paraId="6600869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表：voucher_entry（凭证分录）已在数据库设计中给出</w:t>
      </w:r>
    </w:p>
    <w:p w14:paraId="2ED1C436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 税务管理服务</w:t>
      </w:r>
    </w:p>
    <w:p w14:paraId="5866A9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3E4C3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：根据区域税法自动计算各类税额，生成纳税申报表，支持一键申报。</w:t>
      </w:r>
    </w:p>
    <w:p w14:paraId="27F21A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4358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0CFBE42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CB85C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CA343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9883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税码配置：每个国家独立配置税码、税率、纳税期间、申报表模板。</w:t>
      </w:r>
    </w:p>
    <w:p w14:paraId="5D13F4A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41416D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5B4EF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税额计算：从订单、发票等来源获取税基，自动计算增值税、所得税等。</w:t>
      </w:r>
    </w:p>
    <w:p w14:paraId="5044901C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3BDAB39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7D060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申报表生成：根据模板填充数据，支持预览、导出（PDF/Excel）、一键申报。</w:t>
      </w:r>
    </w:p>
    <w:p w14:paraId="34CD5EAB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264247C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256E44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税政更新：定时抓取税局官网更新，人工复核后入库。</w:t>
      </w:r>
    </w:p>
    <w:p w14:paraId="70B2861F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8903A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7B5955B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5E83B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23467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72A29A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09647F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/api/finance/tax/calculate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"country"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"CN"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"transactionType"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"sales"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"amount"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"taxRateCode"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"VAT13"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/api/finance/tax/declaration?country=CN&amp;period=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2025-02</w:t>
      </w:r>
    </w:p>
    <w:p w14:paraId="5FF4FC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DAAC3F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表：tax_rate（税率）</w:t>
      </w:r>
    </w:p>
    <w:p w14:paraId="48DBA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5557BC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tax_rate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country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'国家'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tax_code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'税码'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tax_name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'税种名称'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'税率（%）'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effective_from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'生效日期'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effective_to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'失效日期'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description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'说明'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uk_country_code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country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tax_code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effective_from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'税率表'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9D04E1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表：tax_declaration（税务申报）已在数据库设计中给出</w:t>
      </w:r>
    </w:p>
    <w:p w14:paraId="53AF8EDF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发票管理服务</w:t>
      </w:r>
    </w:p>
    <w:p w14:paraId="1C35EF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29828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：对接税局电子发票平台，实现发票开具、验真、认证、库存管理。</w:t>
      </w:r>
    </w:p>
    <w:p w14:paraId="12522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CE350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4895723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3D68E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150415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A4DD3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多平台支持：集成百望、票通、Peppol等。</w:t>
      </w:r>
    </w:p>
    <w:p w14:paraId="2A3033D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1641D6E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70B0D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发票开具：支持单张/批量开具，自动填充发票内容，生成OFD/PDF。</w:t>
      </w:r>
    </w:p>
    <w:p w14:paraId="4A966FD7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A2F45C5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14FDDF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发票验真：调用税局接口验证发票真伪，假票自动拦截。</w:t>
      </w:r>
    </w:p>
    <w:p w14:paraId="6971F088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E008648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40C4E1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进项认证：自动勾选可抵扣发票，生成认证清单。</w:t>
      </w:r>
    </w:p>
    <w:p w14:paraId="164B6B7F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780D5158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A8E78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库存预警：发票库存低于阈值自动通知采购。</w:t>
      </w:r>
    </w:p>
    <w:p w14:paraId="76044F25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5536A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3B9F14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25647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396C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20BD5C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796E0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/api/finance/invoice/issue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"orderId"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3001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"invoiceType"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"normal"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"buyerInfo"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"name"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"张三"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"taxNo"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"..."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/api/finance/invoice/verify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"invoiceCode"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"12345678"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"invoiceNo"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"87654321"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</w:p>
    <w:p w14:paraId="1F9C75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432CA71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表：invoice（发票）</w:t>
      </w:r>
    </w:p>
    <w:p w14:paraId="6460B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69AC59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invoice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invoice_no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'发票号码'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invoice_code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'发票代码'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invoice_type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'发票类型：1-增值税普通发票，2-增值税专用发票'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order_id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'关联订单'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tax_amount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'税额'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total_amount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'价税合计'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buyer_name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'购买方名称'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buyer_tax_no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'购买方税号'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seller_name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'销售方名称'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seller_tax_no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'销售方税号'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'状态：0-待开，1-已开，2-已红冲，3-已作废'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pdf_url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'PDF文件URL'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issue_time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'开票时间'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idx_order_id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order_id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idx_invoice_no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invoice_no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'发票表'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3316246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3.4 资金管理服务</w:t>
      </w:r>
    </w:p>
    <w:p w14:paraId="172FC9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4EDF7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：对接银行/支付机构API，实现收款、付款、对账、资金调拨自动化。</w:t>
      </w:r>
    </w:p>
    <w:p w14:paraId="454896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84082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731ED2E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4F70FA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3ECE4A0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C13F7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银行流水导入：定时从银行获取流水，支持手动导入。</w:t>
      </w:r>
    </w:p>
    <w:p w14:paraId="1DFD572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CD25FDB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0AE111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自动对账：按交易金额、时间、订单号匹配流水与订单，未匹配项人工处理。</w:t>
      </w:r>
    </w:p>
    <w:p w14:paraId="7AA1258A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73F7502E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193936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付款审批：多级审批流程，大额付款需双人复核，审批后自动发起银行付款。</w:t>
      </w:r>
    </w:p>
    <w:p w14:paraId="57371AC6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1BA376E0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D976A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现金流预测：基于历史数据和未来订单预测未来现金流，低于安全线预警。</w:t>
      </w:r>
    </w:p>
    <w:p w14:paraId="12B70151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71D428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7EF085E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8641F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455FF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28F3F5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36C90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/api/finance/payment/apply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"amount"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5000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"payee"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"供应商A"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"account"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"6222xxxxxxxx"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"purpose"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"采购货款"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/api/finance/cashflow/forecast?days=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30</w:t>
      </w:r>
    </w:p>
    <w:p w14:paraId="7453BC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4DCE517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表：bank_statement（银行流水）</w:t>
      </w:r>
    </w:p>
    <w:p w14:paraId="13740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561893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bank_statement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account_no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'银行账号'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transaction_date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'交易日期'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transaction_type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'交易类型'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amount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'金额'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balance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DECIMAL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'余额'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counterparty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'对方账户'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description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'摘要'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matched_order_id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'匹配的订单ID'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matched_status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'匹配状态：0-未匹配，1-已匹配，2-异常'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idx_account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account_no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idx_date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transaction_date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'银行流水表'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364E30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3.5 成本核算服务</w:t>
      </w:r>
    </w:p>
    <w:p w14:paraId="156B4D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65F91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：支持多种成本分摊方法，自动分摊费用，生成成本分析报表。</w:t>
      </w:r>
    </w:p>
    <w:p w14:paraId="6EDF1F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ABD98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ECCE79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4726F0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1C4658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F5D49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成本分摊规则：支持按销售额、工时、面积等分摊。</w:t>
      </w:r>
    </w:p>
    <w:p w14:paraId="539AA48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65DA31D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6B7ED6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动态成本引擎：根据实时采购数据、汇率、关税自动更新成本。</w:t>
      </w:r>
    </w:p>
    <w:p w14:paraId="6F932456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B0CF893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BDCF4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成本分析：按门店、项目、客户维度分析成本毛利。</w:t>
      </w:r>
    </w:p>
    <w:p w14:paraId="18410FFF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4F557C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229B152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1A485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17867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72D2CE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6B8133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/api/finance/cost/allocate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"period"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"2025-02"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"rule"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"sales_ratio"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/api/finance/cost/report?storeId=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1001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&amp;month=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2025-02</w:t>
      </w:r>
    </w:p>
    <w:p w14:paraId="7CF6C3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5E52BD3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表：cost_allocation_rule（成本分摊规则）</w:t>
      </w:r>
    </w:p>
    <w:p w14:paraId="57DF1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014C83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cost_allocation_rule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rule_name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cost_type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'成本类型（营销、管理、财务）'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allocation_method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'分摊方法（sales, hours, area）'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parameters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'参数配置'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effective_from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effective_to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'成本分摊规则表'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A71D31B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3.6 AI税务筹划服务</w:t>
      </w:r>
    </w:p>
    <w:p w14:paraId="41DF0E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29DA5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：基于业务数据和各国税法，提供合法合规的税务优化建议。</w:t>
      </w:r>
    </w:p>
    <w:p w14:paraId="39845E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E91D0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4099C0D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80660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10BEAB7B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9FB8D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模型训练：使用历史申报数据和业务数据训练模型，预测最优税务策略。</w:t>
      </w:r>
    </w:p>
    <w:p w14:paraId="38779FF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A75E59E">
      <w:pPr>
        <w:keepNext w:val="0"/>
        <w:keepLines w:val="0"/>
        <w:widowControl/>
        <w:numPr>
          <w:ilvl w:val="1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EDC4E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建议生成：输入年度预算，AI模拟不同方案（转让定价、税收抵免），输出节税效果和风险提示。</w:t>
      </w:r>
    </w:p>
    <w:p w14:paraId="4537CF2C">
      <w:pPr>
        <w:keepNext w:val="0"/>
        <w:keepLines w:val="0"/>
        <w:widowControl/>
        <w:numPr>
          <w:ilvl w:val="1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70610543">
      <w:pPr>
        <w:keepNext w:val="0"/>
        <w:keepLines w:val="0"/>
        <w:widowControl/>
        <w:numPr>
          <w:ilvl w:val="1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0AB6F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风险等级：对每个建议给出风险等级（低、中、高）。</w:t>
      </w:r>
    </w:p>
    <w:p w14:paraId="7846751A">
      <w:pPr>
        <w:keepNext w:val="0"/>
        <w:keepLines w:val="0"/>
        <w:widowControl/>
        <w:numPr>
          <w:ilvl w:val="1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7AA304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368D7273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6EA49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63948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07B9A6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C355C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/api/finance/tax/planning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"country"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"CN"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"revenue"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10000000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"cost"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6000000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"assets"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5000000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</w:p>
    <w:p w14:paraId="41D133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145DD9D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3.7 财务风控服务</w:t>
      </w:r>
    </w:p>
    <w:p w14:paraId="0FC009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6883B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：实时监控财务异常，自动预警。</w:t>
      </w:r>
    </w:p>
    <w:p w14:paraId="6ACEB7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D5865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51BB9E7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BE515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69CF01BE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5A466E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异常指标：税负率、毛利率、现金流比率、发票重复、大额异常支付等。</w:t>
      </w:r>
    </w:p>
    <w:p w14:paraId="2490D0D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76627D6">
      <w:pPr>
        <w:keepNext w:val="0"/>
        <w:keepLines w:val="0"/>
        <w:widowControl/>
        <w:numPr>
          <w:ilvl w:val="1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1B69AD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规则引擎：配置预警规则，触发时推送通知至相关负责人。</w:t>
      </w:r>
    </w:p>
    <w:p w14:paraId="7569093F">
      <w:pPr>
        <w:keepNext w:val="0"/>
        <w:keepLines w:val="0"/>
        <w:widowControl/>
        <w:numPr>
          <w:ilvl w:val="1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2948DBEA">
      <w:pPr>
        <w:keepNext w:val="0"/>
        <w:keepLines w:val="0"/>
        <w:widowControl/>
        <w:numPr>
          <w:ilvl w:val="1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11F154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风险看板：展示当前预警列表及处理状态。</w:t>
      </w:r>
    </w:p>
    <w:p w14:paraId="2CF3E18A">
      <w:pPr>
        <w:keepNext w:val="0"/>
        <w:keepLines w:val="0"/>
        <w:widowControl/>
        <w:numPr>
          <w:ilvl w:val="1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04EED6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31459295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F4520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32316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23939E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00EAEE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/api/finance/risk/alerts?status=active</w:t>
      </w:r>
    </w:p>
    <w:p w14:paraId="21B271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0A807A8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表：finance_alert（财务预警）</w:t>
      </w:r>
    </w:p>
    <w:p w14:paraId="272A8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3FAE7F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finance_alert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alert_type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'预警类型（tax_rate, cashflow, duplicate_invoice）'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alert_level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'级别：1-提示，2-警告，3-严重'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content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'预警内容'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related_data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'相关数据'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'状态：0-待处理，1-已处理，2-忽略'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assigned_to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'处理人'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handled_at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'处理时间'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idx_status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'财务预警表'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3DBF927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消息队列与事件驱动</w:t>
      </w:r>
    </w:p>
    <w:p w14:paraId="67BD7C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B25805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Kafka主题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73C152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68B7398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1DC658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finance-order-paid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：订单支付成功事件，触发凭证生成</w:t>
      </w:r>
    </w:p>
    <w:p w14:paraId="166355C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01C25DF2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6A36B7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finance-purchase-received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：采购入库事件，触发应付账款</w:t>
      </w:r>
    </w:p>
    <w:p w14:paraId="2C2C47F6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6485046D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32E3C9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finance-koc-settle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：KOC结算事件，触发收益发放</w:t>
      </w:r>
    </w:p>
    <w:p w14:paraId="3BDD18CD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15305A97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5615CF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finance-tax-due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：税务申报到期提醒</w:t>
      </w:r>
    </w:p>
    <w:p w14:paraId="177EB92B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53817E04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与业务模块集成示例</w:t>
      </w:r>
    </w:p>
    <w:p w14:paraId="648AA1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8970F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订单系统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：支付完成后发送消息，会计核算服务生成收入凭证。</w:t>
      </w:r>
    </w:p>
    <w:p w14:paraId="2B79EB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92DB6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51A5A6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采购系统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：采购入库后，触发应付账款生成。</w:t>
      </w:r>
    </w:p>
    <w:p w14:paraId="41177B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000221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72AC1C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KOC系统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：KOC收益结算后，财务底座生成付款单。</w:t>
      </w:r>
    </w:p>
    <w:p w14:paraId="2682E3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59436B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5EBB6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HR系统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：薪酬数据推送至财务底座，生成工资发放凭证。</w:t>
      </w:r>
    </w:p>
    <w:p w14:paraId="0C9496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5939DE98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部署与运维</w:t>
      </w:r>
    </w:p>
    <w:p w14:paraId="2D8C2B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39ED4C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数据安全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：所有财务数据加密存储，操作日志独立保存。</w:t>
      </w:r>
    </w:p>
    <w:p w14:paraId="0E87F1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5E104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2C9218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备份策略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：每日全量备份，小时级增量备份，异地存储。</w:t>
      </w:r>
    </w:p>
    <w:p w14:paraId="79BDCF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2992E5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46ADEF5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5A5A2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066C9AB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89208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凭证生成成功率</w:t>
      </w:r>
    </w:p>
    <w:p w14:paraId="551A74F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F444F7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02648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税务申报及时率</w:t>
      </w:r>
    </w:p>
    <w:p w14:paraId="623EAF5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348933D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255A8A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对账差异率</w:t>
      </w:r>
    </w:p>
    <w:p w14:paraId="1207244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44D3D9D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3C262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AI税务建议采纳率</w:t>
      </w:r>
    </w:p>
    <w:p w14:paraId="2777B31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2218E69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E8619"/>
    <w:multiLevelType w:val="multilevel"/>
    <w:tmpl w:val="B3CE8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FD0B6D"/>
    <w:multiLevelType w:val="multilevel"/>
    <w:tmpl w:val="B7FD0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DD0F39"/>
    <w:multiLevelType w:val="multilevel"/>
    <w:tmpl w:val="BFDD0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FDBC3D"/>
    <w:multiLevelType w:val="multilevel"/>
    <w:tmpl w:val="DFFDB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F5C5F7"/>
    <w:multiLevelType w:val="multilevel"/>
    <w:tmpl w:val="FAF5C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B35D18"/>
    <w:multiLevelType w:val="multilevel"/>
    <w:tmpl w:val="FBB35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DEE818"/>
    <w:multiLevelType w:val="multilevel"/>
    <w:tmpl w:val="FEDEE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A6ED32"/>
    <w:multiLevelType w:val="multilevel"/>
    <w:tmpl w:val="3FA6E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50DB8B"/>
    <w:multiLevelType w:val="multilevel"/>
    <w:tmpl w:val="7F50D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01B0"/>
    <w:rsid w:val="EFFF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2026-02-28T11:35:00Z</dcterms:created>
  <dc:creator>姚运忠:史可威CEO_唱够MV投资人</dc:creator>
  <cp:lastModifiedBy>姚运忠:史可威CEO_唱够MV投资人</cp:lastModifiedBy>
  <dcterms:modified xsi:type="dcterms:W3CDTF">2026-02-28T11:35:38Z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E8B196D2A6FAC6818262A269B8B6FDA3_41</vt:lpwstr>
  </property>
</Properties>
</file>