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1728"/>
        <w:gridCol w:w="7920"/>
      </w:tblGrid>
      <w:tr>
        <w:tc>
          <w:tcPr>
            <w:tcW w:type="dxa" w:w="4320"/>
            <w:vAlign w:val="center"/>
          </w:tcPr>
          <w:p>
            <w:pPr>
              <w:jc w:val="left"/>
            </w:pPr>
            <w:r>
              <w:drawing>
                <wp:inline xmlns:a="http://schemas.openxmlformats.org/drawingml/2006/main" xmlns:pic="http://schemas.openxmlformats.org/drawingml/2006/picture">
                  <wp:extent cx="914400" cy="994577"/>
                  <wp:docPr id="1" name="Picture 1"/>
                  <wp:cNvGraphicFramePr>
                    <a:graphicFrameLocks noChangeAspect="1"/>
                  </wp:cNvGraphicFramePr>
                  <a:graphic>
                    <a:graphicData uri="http://schemas.openxmlformats.org/drawingml/2006/picture">
                      <pic:pic>
                        <pic:nvPicPr>
                          <pic:cNvPr id="0" name="ec3c296e-de0e-421f-b466-6daad2b57fca.png"/>
                          <pic:cNvPicPr/>
                        </pic:nvPicPr>
                        <pic:blipFill>
                          <a:blip r:embed="rId9"/>
                          <a:stretch>
                            <a:fillRect/>
                          </a:stretch>
                        </pic:blipFill>
                        <pic:spPr>
                          <a:xfrm>
                            <a:off x="0" y="0"/>
                            <a:ext cx="914400" cy="994577"/>
                          </a:xfrm>
                          <a:prstGeom prst="rect"/>
                        </pic:spPr>
                      </pic:pic>
                    </a:graphicData>
                  </a:graphic>
                </wp:inline>
              </w:drawing>
            </w:r>
          </w:p>
        </w:tc>
        <w:tc>
          <w:tcPr>
            <w:tcW w:type="dxa" w:w="4320"/>
            <w:vAlign w:val="center"/>
          </w:tcPr>
          <w:p>
            <w:pPr>
              <w:jc w:val="left"/>
            </w:pPr>
            <w:r>
              <w:rPr>
                <w:rFonts w:ascii="Times New Roman" w:hAnsi="Times New Roman"/>
                <w:b/>
                <w:color w:val="000000"/>
                <w:sz w:val="36"/>
              </w:rPr>
              <w:t>VECTARR LLC</w:t>
            </w:r>
          </w:p>
          <w:p>
            <w:pPr>
              <w:jc w:val="left"/>
            </w:pPr>
            <w:r>
              <w:rPr>
                <w:rFonts w:ascii="Times New Roman" w:hAnsi="Times New Roman"/>
                <w:sz w:val="20"/>
              </w:rPr>
              <w:t>5900 Balcones Drive STE 100</w:t>
            </w:r>
          </w:p>
          <w:p>
            <w:pPr>
              <w:jc w:val="left"/>
            </w:pPr>
            <w:r>
              <w:rPr>
                <w:rFonts w:ascii="Times New Roman" w:hAnsi="Times New Roman"/>
                <w:sz w:val="20"/>
              </w:rPr>
              <w:t>Austin, TX 78731 USA</w:t>
            </w:r>
          </w:p>
        </w:tc>
      </w:tr>
    </w:tbl>
    <w:p>
      <w:r>
        <w:t>________________________________________________________________________________</w:t>
      </w:r>
    </w:p>
    <w:p/>
    <w:p>
      <w:pPr>
        <w:jc w:val="center"/>
      </w:pPr>
      <w:r>
        <w:rPr>
          <w:rFonts w:ascii="Times New Roman" w:hAnsi="Times New Roman"/>
          <w:b/>
          <w:color w:val="000000"/>
          <w:sz w:val="32"/>
        </w:rPr>
        <w:t>BACK-TO-BACK NON-DISCLOSURE AGREEMENT</w:t>
      </w:r>
    </w:p>
    <w:p>
      <w:pPr>
        <w:jc w:val="center"/>
      </w:pPr>
      <w:r>
        <w:rPr>
          <w:rFonts w:ascii="Times New Roman" w:hAnsi="Times New Roman"/>
          <w:i/>
          <w:sz w:val="20"/>
        </w:rPr>
        <w:t>(Subcontractor Confidentiality and Data Protection Agreement)</w:t>
      </w:r>
    </w:p>
    <w:p>
      <w:pPr>
        <w:spacing w:line="276" w:lineRule="auto"/>
      </w:pPr>
      <w:r>
        <w:rPr>
          <w:rFonts w:ascii="Times New Roman" w:hAnsi="Times New Roman"/>
          <w:sz w:val="22"/>
        </w:rPr>
        <w:t>THIS NON-DISCLOSURE AGREEMENT (the "Agreement") is entered into and effective as of the ___ day of _____________, 20___ (the "Effective Date"), by and between:</w:t>
      </w:r>
    </w:p>
    <w:p/>
    <w:p>
      <w:pPr>
        <w:spacing w:line="276" w:lineRule="auto"/>
      </w:pPr>
      <w:r>
        <w:rPr>
          <w:rFonts w:ascii="Times New Roman" w:hAnsi="Times New Roman"/>
          <w:b/>
          <w:sz w:val="22"/>
        </w:rPr>
        <w:t>VECTARR LLC</w:t>
      </w:r>
      <w:r>
        <w:rPr>
          <w:rFonts w:ascii="Times New Roman" w:hAnsi="Times New Roman"/>
        </w:rPr>
        <w:t>, a limited liability company organized and existing under the laws of the State of Texas, with its principal place of business at 5900 Balcones Drive STE 100, Austin, TX 78731 USA ("Company");</w:t>
      </w:r>
    </w:p>
    <w:p/>
    <w:p>
      <w:pPr>
        <w:spacing w:line="276" w:lineRule="auto"/>
        <w:jc w:val="center"/>
      </w:pPr>
      <w:r>
        <w:rPr>
          <w:rFonts w:ascii="Times New Roman" w:hAnsi="Times New Roman"/>
          <w:b/>
        </w:rPr>
        <w:t>AND</w:t>
      </w:r>
    </w:p>
    <w:p/>
    <w:p>
      <w:pPr>
        <w:spacing w:line="276" w:lineRule="auto"/>
      </w:pPr>
      <w:r>
        <w:rPr>
          <w:rFonts w:ascii="Times New Roman" w:hAnsi="Times New Roman"/>
          <w:b/>
          <w:sz w:val="22"/>
        </w:rPr>
        <w:t>[SUBCONTRACTOR FULL LEGAL NAME]</w:t>
      </w:r>
      <w:r>
        <w:rPr>
          <w:rFonts w:ascii="Times New Roman" w:hAnsi="Times New Roman"/>
        </w:rPr>
        <w:t>, a [State/Country] [Entity Type / Individual], with its principal place of business/address at [Address] ("Subcontractor").</w:t>
      </w:r>
    </w:p>
    <w:p/>
    <w:p>
      <w:pPr>
        <w:jc w:val="center"/>
      </w:pPr>
      <w:r>
        <w:rPr>
          <w:rFonts w:ascii="Times New Roman" w:hAnsi="Times New Roman"/>
          <w:b/>
          <w:sz w:val="22"/>
        </w:rPr>
        <w:t>RECITALS</w:t>
      </w:r>
    </w:p>
    <w:p>
      <w:pPr>
        <w:spacing w:line="276" w:lineRule="auto"/>
        <w:ind w:firstLine="720"/>
      </w:pPr>
      <w:r>
        <w:rPr>
          <w:rFonts w:ascii="Times New Roman" w:hAnsi="Times New Roman"/>
          <w:sz w:val="22"/>
        </w:rPr>
        <w:t>WHEREAS, Company has entered into one or more agreements with its client(s) ("Client") that impose strict confidentiality, non-disclosure, data protection, intellectual property, security, and/or export control obligations upon Company (collectively, the "Client NDA"); and</w:t>
      </w:r>
    </w:p>
    <w:p>
      <w:pPr>
        <w:spacing w:line="276" w:lineRule="auto"/>
        <w:ind w:firstLine="720"/>
      </w:pPr>
      <w:r>
        <w:rPr>
          <w:rFonts w:ascii="Times New Roman" w:hAnsi="Times New Roman"/>
          <w:sz w:val="22"/>
        </w:rPr>
        <w:t>WHEREAS, Subcontractor is being engaged by Company to perform services that may require access to Confidential Information (as defined herein) solely to fulfill Company's obligations to Client; and</w:t>
      </w:r>
    </w:p>
    <w:p>
      <w:pPr>
        <w:spacing w:line="276" w:lineRule="auto"/>
        <w:ind w:firstLine="720"/>
      </w:pPr>
      <w:r>
        <w:rPr>
          <w:rFonts w:ascii="Times New Roman" w:hAnsi="Times New Roman"/>
          <w:sz w:val="22"/>
        </w:rPr>
        <w:t>WHEREAS, Company is required by Client to ensure that any subcontractor or third party receiving Client's Confidential Information is bound by confidentiality obligations at least as restrictive as those imposed upon Company;</w:t>
      </w:r>
    </w:p>
    <w:p>
      <w:pPr>
        <w:spacing w:line="276" w:lineRule="auto"/>
        <w:ind w:firstLine="720"/>
      </w:pPr>
      <w:r>
        <w:rPr>
          <w:rFonts w:ascii="Times New Roman" w:hAnsi="Times New Roman"/>
          <w:sz w:val="22"/>
        </w:rPr>
        <w:t>NOW, THEREFORE, in consideration of the mutual covenants and agreements contained herein, and for other good and valuable consideration, the receipt and sufficiency of which are hereby acknowledged, the parties agree as follows:</w:t>
      </w:r>
    </w:p>
    <w:p/>
    <w:p>
      <w:pPr>
        <w:spacing w:line="276" w:lineRule="auto"/>
      </w:pPr>
      <w:r>
        <w:rPr>
          <w:rFonts w:ascii="Times New Roman" w:hAnsi="Times New Roman"/>
          <w:b/>
          <w:sz w:val="22"/>
        </w:rPr>
        <w:t>1.  PURPOSE AND SCOPE</w:t>
      </w:r>
    </w:p>
    <w:p>
      <w:pPr>
        <w:spacing w:line="276" w:lineRule="auto"/>
        <w:ind w:left="720"/>
      </w:pPr>
      <w:r>
        <w:rPr>
          <w:rFonts w:ascii="Times New Roman" w:hAnsi="Times New Roman"/>
          <w:sz w:val="22"/>
        </w:rPr>
        <w:t>This Agreement establishes the terms and conditions under which Subcontractor may access and use Confidential Information provided by Company. Subcontractor shall access and use Confidential Information solely for the purpose of performing services for Company that directly support Company's contractual obligations to Client (the "Authorized Purpose"). Any use of Confidential Information for any purpose other than the Authorized Purpose is strictly prohibited.</w:t>
      </w:r>
    </w:p>
    <w:p/>
    <w:p>
      <w:pPr>
        <w:spacing w:line="276" w:lineRule="auto"/>
      </w:pPr>
      <w:r>
        <w:rPr>
          <w:rFonts w:ascii="Times New Roman" w:hAnsi="Times New Roman"/>
          <w:b/>
          <w:sz w:val="22"/>
        </w:rPr>
        <w:t>2.  DEFINITION OF CONFIDENTIAL INFORMATION</w:t>
      </w:r>
    </w:p>
    <w:p>
      <w:pPr>
        <w:spacing w:line="276" w:lineRule="auto"/>
        <w:ind w:left="720"/>
      </w:pPr>
      <w:r>
        <w:rPr>
          <w:rFonts w:ascii="Times New Roman" w:hAnsi="Times New Roman"/>
          <w:sz w:val="22"/>
        </w:rPr>
        <w:t>"Confidential Information" shall mean all information, data, materials, and knowledge, whether disclosed orally, visually, electronically, or in writing, that is: (a) disclosed by Client directly or indirectly through Company; (b) designated as confidential, proprietary, or restricted; (c) subject to data protection laws, export controls, or security classifications; or (d) information that reasonably should be understood to be confidential given its nature and the circumstances of disclosure. Confidential Information includes, without limitation: (i) client data, personal information, and regulated data; (ii) trade secrets, technical specifications, source code, and methodologies; (iii) business plans, financial data, pricing, and strategic information; (iv) export-controlled technical data subject to ITAR, EAR, or other regulations; and (v) any information derived from or containing any of the foregoing.</w:t>
      </w:r>
    </w:p>
    <w:p/>
    <w:p>
      <w:pPr>
        <w:spacing w:line="276" w:lineRule="auto"/>
      </w:pPr>
      <w:r>
        <w:rPr>
          <w:rFonts w:ascii="Times New Roman" w:hAnsi="Times New Roman"/>
          <w:b/>
          <w:sz w:val="22"/>
        </w:rPr>
        <w:t>3.  FLOW-DOWN OF CLIENT NDA OBLIGATIONS</w:t>
      </w:r>
    </w:p>
    <w:p>
      <w:pPr>
        <w:spacing w:line="276" w:lineRule="auto"/>
        <w:ind w:left="720"/>
      </w:pPr>
      <w:r>
        <w:rPr>
          <w:rFonts w:ascii="Times New Roman" w:hAnsi="Times New Roman"/>
          <w:sz w:val="22"/>
        </w:rPr>
        <w:t>Subcontractor acknowledges and agrees that all confidentiality, non-disclosure, data protection, intellectual property, security, and export control obligations imposed upon Company by Client (the "Client NDA") are hereby incorporated by reference into this Agreement and shall apply equally to Subcontractor. In the event of any conflict or inconsistency between the terms of this Agreement and the Client NDA, the more restrictive obligation shall govern. Subcontractor shall execute any additional agreements, certifications, or acknowledgments required by Client or Company to evidence compliance with Client NDA obligations.</w:t>
      </w:r>
    </w:p>
    <w:p/>
    <w:p>
      <w:pPr>
        <w:spacing w:line="276" w:lineRule="auto"/>
      </w:pPr>
      <w:r>
        <w:rPr>
          <w:rFonts w:ascii="Times New Roman" w:hAnsi="Times New Roman"/>
          <w:b/>
          <w:sz w:val="22"/>
        </w:rPr>
        <w:t>4.  USE AND NON-DISCLOSURE OBLIGATIONS</w:t>
      </w:r>
    </w:p>
    <w:p>
      <w:pPr>
        <w:spacing w:line="276" w:lineRule="auto"/>
        <w:ind w:left="720"/>
      </w:pPr>
      <w:r>
        <w:rPr>
          <w:rFonts w:ascii="Times New Roman" w:hAnsi="Times New Roman"/>
          <w:sz w:val="22"/>
        </w:rPr>
        <w:t>Subcontractor shall: (a) use Confidential Information solely for the Authorized Purpose and for no other purpose whatsoever; (b) not disclose, disseminate, transmit, or make available Confidential Information to any third party without the prior written consent of Company; (c) limit access to Confidential Information to those employees, contractors, and agents who have a strict need-to-know for the Authorized Purpose and who are bound by confidentiality obligations at least as restrictive as those contained herein; (d) not remove, obscure, or alter any proprietary notices or legends contained in Confidential Information; and (e) comply with all applicable laws, regulations, and industry standards governing the handling of Confidential Information.</w:t>
      </w:r>
    </w:p>
    <w:p/>
    <w:p>
      <w:pPr>
        <w:spacing w:line="276" w:lineRule="auto"/>
      </w:pPr>
      <w:r>
        <w:rPr>
          <w:rFonts w:ascii="Times New Roman" w:hAnsi="Times New Roman"/>
          <w:b/>
          <w:sz w:val="22"/>
        </w:rPr>
        <w:t>5.  PROHIBITION ON FURTHER SUBCONTRACTING</w:t>
      </w:r>
    </w:p>
    <w:p>
      <w:pPr>
        <w:spacing w:line="276" w:lineRule="auto"/>
        <w:ind w:left="720"/>
      </w:pPr>
      <w:r>
        <w:rPr>
          <w:rFonts w:ascii="Times New Roman" w:hAnsi="Times New Roman"/>
          <w:sz w:val="22"/>
        </w:rPr>
        <w:t>Subcontractor shall not subcontract, delegate, assign, or otherwise transfer any of its rights or obligations under this Agreement or any portion of the services to any third party without the prior written consent of Company. Any purported assignment or subcontract in violation of this Section shall be void ab initio. If Company grants written consent to further subcontracting, Subcontractor shall ensure that any downstream subcontractor executes confidentiality and data protection agreements consistent with the terms of this Agreement and the Client NDA.</w:t>
      </w:r>
    </w:p>
    <w:p/>
    <w:p>
      <w:pPr>
        <w:spacing w:line="276" w:lineRule="auto"/>
      </w:pPr>
      <w:r>
        <w:rPr>
          <w:rFonts w:ascii="Times New Roman" w:hAnsi="Times New Roman"/>
          <w:b/>
          <w:sz w:val="22"/>
        </w:rPr>
        <w:t>6.  SECURITY AND SAFEGUARDS</w:t>
      </w:r>
    </w:p>
    <w:p>
      <w:pPr>
        <w:spacing w:line="276" w:lineRule="auto"/>
        <w:ind w:left="720"/>
      </w:pPr>
      <w:r>
        <w:rPr>
          <w:rFonts w:ascii="Times New Roman" w:hAnsi="Times New Roman"/>
          <w:sz w:val="22"/>
        </w:rPr>
        <w:t>Subcontractor shall implement and maintain administrative, technical, and physical safeguards that are consistent with industry best practices and no less rigorous than those maintained by Subcontractor for its own confidential information. Such safeguards shall include, but not be limited to: (a) secure storage and transmission of Confidential Information using encryption where appropriate; (b) access controls, authentication mechanisms, and audit logging; (c) regular security assessments and vulnerability management; (d) employee training on data protection and confidentiality; and (e) incident response procedures. Subcontractor shall promptly implement any additional security measures required by Company or Client.</w:t>
      </w:r>
    </w:p>
    <w:p/>
    <w:p>
      <w:pPr>
        <w:spacing w:line="276" w:lineRule="auto"/>
      </w:pPr>
      <w:r>
        <w:rPr>
          <w:rFonts w:ascii="Times New Roman" w:hAnsi="Times New Roman"/>
          <w:b/>
          <w:sz w:val="22"/>
        </w:rPr>
        <w:t>7.  BREACH NOTIFICATION AND RESPONSE</w:t>
      </w:r>
    </w:p>
    <w:p>
      <w:pPr>
        <w:spacing w:line="276" w:lineRule="auto"/>
        <w:ind w:left="720"/>
      </w:pPr>
      <w:r>
        <w:rPr>
          <w:rFonts w:ascii="Times New Roman" w:hAnsi="Times New Roman"/>
          <w:sz w:val="22"/>
        </w:rPr>
        <w:t>Subcontractor shall immediately notify Company, and in no event later than twenty-four (24) hours following discovery, of any actual, suspected, or threatened: (a) unauthorized access to, use of, or disclosure of Confidential Information; (b) security incident, data breach, or cybersecurity event; (c) loss or theft of devices or media containing Confidential Information; or (d) violation of export control laws or regulations. Subcontractor shall cooperate fully with Company and Client in investigating and remedying any such incident, including but not limited to providing access to systems, logs, and personnel as reasonably requested.</w:t>
      </w:r>
    </w:p>
    <w:p/>
    <w:p>
      <w:pPr>
        <w:spacing w:line="276" w:lineRule="auto"/>
      </w:pPr>
      <w:r>
        <w:rPr>
          <w:rFonts w:ascii="Times New Roman" w:hAnsi="Times New Roman"/>
          <w:b/>
          <w:sz w:val="22"/>
        </w:rPr>
        <w:t>8.  OWNERSHIP AND INTELLECTUAL PROPERTY</w:t>
      </w:r>
    </w:p>
    <w:p>
      <w:pPr>
        <w:spacing w:line="276" w:lineRule="auto"/>
        <w:ind w:left="720"/>
      </w:pPr>
      <w:r>
        <w:rPr>
          <w:rFonts w:ascii="Times New Roman" w:hAnsi="Times New Roman"/>
          <w:sz w:val="22"/>
        </w:rPr>
        <w:t>All Confidential Information shall remain the exclusive property of Client and/or Company, as applicable. Nothing contained in this Agreement shall be construed as granting Subcontractor any right, title, or interest in or to any Confidential Information, patent, copyright, trademark, trade secret, or other intellectual property. All improvements, modifications, and derivative works of Confidential Information shall be owned exclusively by Client or Company, and Subcontractor hereby irrevocably assigns all right, title, and interest in such improvements to Company.</w:t>
      </w:r>
    </w:p>
    <w:p/>
    <w:p>
      <w:pPr>
        <w:spacing w:line="276" w:lineRule="auto"/>
      </w:pPr>
      <w:r>
        <w:rPr>
          <w:rFonts w:ascii="Times New Roman" w:hAnsi="Times New Roman"/>
          <w:b/>
          <w:sz w:val="22"/>
        </w:rPr>
        <w:t>9.  RETURN AND DESTRUCTION OF CONFIDENTIAL INFORMATION</w:t>
      </w:r>
    </w:p>
    <w:p>
      <w:pPr>
        <w:spacing w:line="276" w:lineRule="auto"/>
        <w:ind w:left="720"/>
      </w:pPr>
      <w:r>
        <w:rPr>
          <w:rFonts w:ascii="Times New Roman" w:hAnsi="Times New Roman"/>
          <w:sz w:val="22"/>
        </w:rPr>
        <w:t>Upon the earlier of: (a) completion of the services; (b) termination of this Agreement; (c) written request by Company or Client; or (d) the expiration of the applicable retention period, Subcontractor shall: (i) immediately cease all use of Confidential Information; (ii) return all tangible embodiments of Confidential Information to Company or destroy such materials as directed by Company; (iii) permanently delete all electronic copies of Confidential Information from all systems, devices, cloud storage, and backup media under Subcontractor's control or custody; and (iv) certify in writing to Company that all Confidential Information has been returned or destroyed in accordance with this Section, which certification shall be signed by an authorized officer of Subcontractor.</w:t>
      </w:r>
    </w:p>
    <w:p/>
    <w:p>
      <w:pPr>
        <w:spacing w:line="276" w:lineRule="auto"/>
      </w:pPr>
      <w:r>
        <w:rPr>
          <w:rFonts w:ascii="Times New Roman" w:hAnsi="Times New Roman"/>
          <w:b/>
          <w:sz w:val="22"/>
        </w:rPr>
        <w:t>10.  TERM AND SURVIVAL</w:t>
      </w:r>
    </w:p>
    <w:p>
      <w:pPr>
        <w:spacing w:line="276" w:lineRule="auto"/>
        <w:ind w:left="720"/>
      </w:pPr>
      <w:r>
        <w:rPr>
          <w:rFonts w:ascii="Times New Roman" w:hAnsi="Times New Roman"/>
          <w:sz w:val="22"/>
        </w:rPr>
        <w:t>This Agreement shall commence on the Effective Date and shall continue until terminated by either party upon thirty (30) days' prior written notice, or immediately upon material breach. Notwithstanding termination, all obligations of confidentiality, non-disclosure, and data protection shall survive for the longest period required by: (a) the Client NDA; (b) applicable law; or (c) the nature of the Confidential Information disclosed, but in no event less than five (5) years from the date of disclosure.</w:t>
      </w:r>
    </w:p>
    <w:p/>
    <w:p>
      <w:pPr>
        <w:spacing w:line="276" w:lineRule="auto"/>
      </w:pPr>
      <w:r>
        <w:rPr>
          <w:rFonts w:ascii="Times New Roman" w:hAnsi="Times New Roman"/>
          <w:b/>
          <w:sz w:val="22"/>
        </w:rPr>
        <w:t>11.  INDEMNIFICATION</w:t>
      </w:r>
    </w:p>
    <w:p>
      <w:pPr>
        <w:spacing w:line="276" w:lineRule="auto"/>
        <w:ind w:left="720"/>
      </w:pPr>
      <w:r>
        <w:rPr>
          <w:rFonts w:ascii="Times New Roman" w:hAnsi="Times New Roman"/>
          <w:sz w:val="22"/>
        </w:rPr>
        <w:t>Subcontractor shall defend, indemnify, and hold harmless Company, Client, and their respective officers, directors, employees, agents, successors, and assigns from and against any and all claims, damages, losses, liabilities, costs, and expenses (including reasonable attorneys' fees) arising out of or relating to: (a) any breach by Subcontractor of this Agreement; (b) any unauthorized use or disclosure of Confidential Information by Subcontractor; (c) any violation of applicable laws or regulations by Subcontractor; or (d) any negligence or willful misconduct of Subcontractor.</w:t>
      </w:r>
    </w:p>
    <w:p/>
    <w:p>
      <w:pPr>
        <w:spacing w:line="276" w:lineRule="auto"/>
      </w:pPr>
      <w:r>
        <w:rPr>
          <w:rFonts w:ascii="Times New Roman" w:hAnsi="Times New Roman"/>
          <w:b/>
          <w:sz w:val="22"/>
        </w:rPr>
        <w:t>12.  GOVERNING LAW AND DISPUTE RESOLUTION</w:t>
      </w:r>
    </w:p>
    <w:p>
      <w:pPr>
        <w:spacing w:line="276" w:lineRule="auto"/>
        <w:ind w:left="720"/>
      </w:pPr>
      <w:r>
        <w:rPr>
          <w:rFonts w:ascii="Times New Roman" w:hAnsi="Times New Roman"/>
          <w:sz w:val="22"/>
        </w:rPr>
        <w:t>This Agreement shall be governed by and construed in accordance with the laws specified in the Client NDA, or if no such specification exists, by the laws of the State of Texas, without regard to its conflict of laws principles. Any dispute arising out of or relating to this Agreement shall be resolved through binding arbitration in Travis County, Texas, in accordance with the rules of the American Arbitration Association. Judgment upon the award rendered by the arbitrator(s) may be entered in any court having jurisdiction thereof.</w:t>
      </w:r>
    </w:p>
    <w:p/>
    <w:p>
      <w:pPr>
        <w:spacing w:line="276" w:lineRule="auto"/>
      </w:pPr>
      <w:r>
        <w:rPr>
          <w:rFonts w:ascii="Times New Roman" w:hAnsi="Times New Roman"/>
          <w:b/>
          <w:sz w:val="22"/>
        </w:rPr>
        <w:t>13.  REMEDIES</w:t>
      </w:r>
    </w:p>
    <w:p>
      <w:pPr>
        <w:spacing w:line="276" w:lineRule="auto"/>
        <w:ind w:left="720"/>
      </w:pPr>
      <w:r>
        <w:rPr>
          <w:rFonts w:ascii="Times New Roman" w:hAnsi="Times New Roman"/>
          <w:sz w:val="22"/>
        </w:rPr>
        <w:t>Subcontractor acknowledges that any breach of this Agreement would cause irreparable harm to Company and Client for which monetary damages would be inadequate. Company and Client shall be entitled to seek immediate injunctive relief, specific performance, and other equitable remedies without the necessity of proving actual damages or posting a bond. Such equitable relief shall be in addition to any other remedies available at law or in equity.</w:t>
      </w:r>
    </w:p>
    <w:p/>
    <w:p>
      <w:pPr>
        <w:spacing w:line="276" w:lineRule="auto"/>
      </w:pPr>
      <w:r>
        <w:rPr>
          <w:rFonts w:ascii="Times New Roman" w:hAnsi="Times New Roman"/>
          <w:b/>
          <w:sz w:val="22"/>
        </w:rPr>
        <w:t>14.  ENTIRE AGREEMENT</w:t>
      </w:r>
    </w:p>
    <w:p>
      <w:pPr>
        <w:spacing w:line="276" w:lineRule="auto"/>
        <w:ind w:left="720"/>
      </w:pPr>
      <w:r>
        <w:rPr>
          <w:rFonts w:ascii="Times New Roman" w:hAnsi="Times New Roman"/>
          <w:sz w:val="22"/>
        </w:rPr>
        <w:t>This Agreement, together with the Client NDA incorporated herein by reference, constitutes the entire agreement between the parties with respect to the subject matter hereof and supersedes all prior agreements, understandings, and communications. This Agreement may not be amended except by a written instrument signed by authorized representatives of both parties.</w:t>
      </w:r>
    </w:p>
    <w:p/>
    <w:p/>
    <w:p/>
    <w:p>
      <w:pPr>
        <w:jc w:val="center"/>
      </w:pPr>
      <w:r>
        <w:rPr>
          <w:rFonts w:ascii="Times New Roman" w:hAnsi="Times New Roman"/>
          <w:i/>
          <w:sz w:val="22"/>
        </w:rPr>
        <w:t>IN WITNESS WHEREOF, the parties have executed this Agreement as of the Effective Date first written above.</w:t>
      </w:r>
    </w:p>
    <w:p/>
    <w:p/>
    <w:tbl>
      <w:tblPr>
        <w:tblW w:type="auto" w:w="0"/>
        <w:jc w:val="center"/>
        <w:tblLayout w:type="fixed"/>
        <w:tblLook w:firstColumn="1" w:firstRow="1" w:lastColumn="0" w:lastRow="0" w:noHBand="0" w:noVBand="1" w:val="04A0"/>
      </w:tblPr>
      <w:tblGrid>
        <w:gridCol w:w="4320"/>
        <w:gridCol w:w="4320"/>
      </w:tblGrid>
      <w:tr>
        <w:tc>
          <w:tcPr>
            <w:tcW w:type="dxa" w:w="4320"/>
          </w:tcPr>
          <w:p>
            <w:r>
              <w:rPr>
                <w:rFonts w:ascii="Times New Roman" w:hAnsi="Times New Roman"/>
                <w:b/>
                <w:sz w:val="22"/>
              </w:rPr>
              <w:t>VECTARR LLC</w:t>
            </w:r>
          </w:p>
        </w:tc>
        <w:tc>
          <w:tcPr>
            <w:tcW w:type="dxa" w:w="4320"/>
          </w:tcPr>
          <w:p>
            <w:r>
              <w:rPr>
                <w:rFonts w:ascii="Times New Roman" w:hAnsi="Times New Roman"/>
                <w:b/>
                <w:sz w:val="22"/>
              </w:rPr>
              <w:t>SUBCONTRACTOR</w:t>
            </w:r>
          </w:p>
        </w:tc>
      </w:tr>
      <w:tr>
        <w:tc>
          <w:tcPr>
            <w:tcW w:type="dxa" w:w="4320"/>
          </w:tcPr>
          <w:p>
            <w:r>
              <w:rPr>
                <w:rFonts w:ascii="Times New Roman" w:hAnsi="Times New Roman"/>
              </w:rPr>
              <w:t>________________________________________</w:t>
            </w:r>
          </w:p>
        </w:tc>
        <w:tc>
          <w:tcPr>
            <w:tcW w:type="dxa" w:w="4320"/>
          </w:tcPr>
          <w:p>
            <w:r>
              <w:rPr>
                <w:rFonts w:ascii="Times New Roman" w:hAnsi="Times New Roman"/>
              </w:rPr>
              <w:t>________________________________________</w:t>
            </w:r>
          </w:p>
        </w:tc>
      </w:tr>
      <w:tr>
        <w:tc>
          <w:tcPr>
            <w:tcW w:type="dxa" w:w="4320"/>
          </w:tcPr>
          <w:p>
            <w:r>
              <w:rPr>
                <w:rFonts w:ascii="Times New Roman" w:hAnsi="Times New Roman"/>
                <w:sz w:val="18"/>
              </w:rPr>
              <w:t>Signature</w:t>
            </w:r>
          </w:p>
        </w:tc>
        <w:tc>
          <w:tcPr>
            <w:tcW w:type="dxa" w:w="4320"/>
          </w:tcPr>
          <w:p>
            <w:r>
              <w:rPr>
                <w:rFonts w:ascii="Times New Roman" w:hAnsi="Times New Roman"/>
                <w:sz w:val="18"/>
              </w:rPr>
              <w:t>Signature</w:t>
            </w:r>
          </w:p>
        </w:tc>
      </w:tr>
      <w:tr>
        <w:tc>
          <w:tcPr>
            <w:tcW w:type="dxa" w:w="4320"/>
          </w:tcPr>
          <w:p>
            <w:r>
              <w:rPr>
                <w:rFonts w:ascii="Times New Roman" w:hAnsi="Times New Roman"/>
                <w:sz w:val="22"/>
              </w:rPr>
              <w:t>Date: _______________</w:t>
            </w:r>
          </w:p>
        </w:tc>
        <w:tc>
          <w:tcPr>
            <w:tcW w:type="dxa" w:w="4320"/>
          </w:tcPr>
          <w:p>
            <w:r>
              <w:rPr>
                <w:rFonts w:ascii="Times New Roman" w:hAnsi="Times New Roman"/>
                <w:sz w:val="22"/>
              </w:rPr>
              <w:t>Date: _______________</w:t>
            </w:r>
          </w:p>
        </w:tc>
      </w:tr>
    </w:tbl>
    <w:p/>
    <w:p>
      <w:pPr>
        <w:jc w:val="center"/>
      </w:pPr>
      <w:r>
        <w:rPr>
          <w:rFonts w:ascii="Times New Roman" w:hAnsi="Times New Roman"/>
          <w:sz w:val="20"/>
        </w:rPr>
        <w:t>-1-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