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b w:val="1"/>
          <w:sz w:val="36"/>
          <w:szCs w:val="36"/>
          <w:rtl w:val="0"/>
        </w:rPr>
        <w:t xml:space="preserve">Dummy Variables e One Hot Encoding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36"/>
          <w:szCs w:val="36"/>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t xml:space="preserve">Esses dois processos ajudam a transformar variáveis nominais e ordinarias em numéricas.</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5">
      <w:pPr>
        <w:rPr>
          <w:sz w:val="28"/>
          <w:szCs w:val="28"/>
          <w:u w:val="single"/>
        </w:rPr>
      </w:pPr>
      <w:r w:rsidDel="00000000" w:rsidR="00000000" w:rsidRPr="00000000">
        <w:rPr>
          <w:sz w:val="28"/>
          <w:szCs w:val="28"/>
          <w:u w:val="single"/>
          <w:rtl w:val="0"/>
        </w:rPr>
        <w:t xml:space="preserve">Dummy Variables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 Dummy Variables criamos</w:t>
      </w:r>
      <w:r w:rsidDel="00000000" w:rsidR="00000000" w:rsidRPr="00000000">
        <w:rPr>
          <w:rtl w:val="0"/>
        </w:rPr>
        <w:t xml:space="preserve"> uma coluna para cada variável e dá o valor de 1 para os dados que possuíam essa variável. Por exemplo:</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Cidade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Preço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RJ</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7000</w:t>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 cidades são variáveis nominais, e não da pra trabalhar com machine learning com esse tipo de variável. Logo é preciso transformá-las. Depois de usar o OneHotEncoding, a tabela ficará assim: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17">
            <w:pPr>
              <w:jc w:val="center"/>
              <w:rPr/>
            </w:pPr>
            <w:r w:rsidDel="00000000" w:rsidR="00000000" w:rsidRPr="00000000">
              <w:rPr>
                <w:rtl w:val="0"/>
              </w:rPr>
              <w:t xml:space="preserve">Cidade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tl w:val="0"/>
              </w:rPr>
              <w:t xml:space="preserve">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9">
            <w:pPr>
              <w:jc w:val="center"/>
              <w:rPr/>
            </w:pPr>
            <w:r w:rsidDel="00000000" w:rsidR="00000000" w:rsidRPr="00000000">
              <w:rPr>
                <w:rtl w:val="0"/>
              </w:rPr>
              <w:t xml:space="preserve">Preço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SP</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RJ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jc w:val="center"/>
              <w:rPr/>
            </w:pPr>
            <w:r w:rsidDel="00000000" w:rsidR="00000000" w:rsidRPr="00000000">
              <w:rPr>
                <w:rtl w:val="0"/>
              </w:rPr>
              <w:t xml:space="preserve">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jc w:val="center"/>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jc w:val="center"/>
              <w:rPr/>
            </w:pPr>
            <w:r w:rsidDel="00000000" w:rsidR="00000000" w:rsidRPr="00000000">
              <w:rPr>
                <w:rtl w:val="0"/>
              </w:rPr>
              <w:t xml:space="preserve">RJ</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jc w:val="center"/>
              <w:rPr/>
            </w:pPr>
            <w:r w:rsidDel="00000000" w:rsidR="00000000" w:rsidRPr="00000000">
              <w:rPr>
                <w:rtl w:val="0"/>
              </w:rPr>
              <w:t xml:space="preserve">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jc w:val="center"/>
              <w:rPr/>
            </w:pPr>
            <w:r w:rsidDel="00000000" w:rsidR="00000000" w:rsidRPr="00000000">
              <w:rPr>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Depois de importar o pandas, as formulas usadas para criar essas tabelas são:</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import pandas as pd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dummies = pd.get_dummies(df.Cidade)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merged = pd.concat([df, dummies], axis =’columns’)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Assim, o novo dataframe merged irá conter os dados de antes e as novas colunas com as variáveis nominais.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próxima coisa a se fazer é tirar uma coluna dessas variáveis que criamos. Por que? Por causa de uma coisa chamada em inglês de Dummy Variable Trap. O significado dela em português é esse: A armadilha Dummy Variable é um cenário no qual as variáveis independentes são multicolineares - um cenário no qual duas ou mais variáveis são altamente correlacionadas; em termos simples, uma variável pode ser prevista a partir das outras. Ou seja, logicamente não precisamos de uma se já sabemos das outras, essa uma são todas aquelas que não foram selecionadas. Se não tirarmos essa única coluna de nossa escolha, pode dar problema, por isso chamada de trap. O código para tirar uma delas pode ser esse: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final = merged.drop([‘Cidade’, ‘SP’], axis =’columns’)</w:t>
      </w:r>
    </w:p>
    <w:p w:rsidR="00000000" w:rsidDel="00000000" w:rsidP="00000000" w:rsidRDefault="00000000" w:rsidRPr="00000000" w14:paraId="00000033">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gridCol w:w="3120"/>
        <w:gridCol w:w="3120"/>
        <w:tblGridChange w:id="0">
          <w:tblGrid>
            <w:gridCol w:w="3120"/>
            <w:gridCol w:w="3120"/>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rtl w:val="0"/>
              </w:rPr>
              <w:t xml:space="preserve">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5">
            <w:pPr>
              <w:jc w:val="center"/>
              <w:rPr/>
            </w:pPr>
            <w:r w:rsidDel="00000000" w:rsidR="00000000" w:rsidRPr="00000000">
              <w:rPr>
                <w:rtl w:val="0"/>
              </w:rPr>
              <w:t xml:space="preserve">Preço</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36">
            <w:pPr>
              <w:jc w:val="center"/>
              <w:rPr/>
            </w:pPr>
            <w:r w:rsidDel="00000000" w:rsidR="00000000" w:rsidRPr="00000000">
              <w:rPr>
                <w:rtl w:val="0"/>
              </w:rPr>
              <w:t xml:space="preserve">RJ</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jc w:val="center"/>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jc w:val="center"/>
              <w:rPr/>
            </w:pPr>
            <w:r w:rsidDel="00000000" w:rsidR="00000000" w:rsidRPr="00000000">
              <w:rPr>
                <w:rtl w:val="0"/>
              </w:rPr>
              <w:t xml:space="preserve">5000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jc w:val="center"/>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jc w:val="center"/>
              <w:rPr/>
            </w:pPr>
            <w:r w:rsidDel="00000000" w:rsidR="00000000" w:rsidRPr="00000000">
              <w:rPr>
                <w:rtl w:val="0"/>
              </w:rPr>
              <w:t xml:space="preserve">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jc w:val="center"/>
              <w:rPr/>
            </w:pPr>
            <w:r w:rsidDel="00000000" w:rsidR="00000000" w:rsidRPr="00000000">
              <w:rPr>
                <w:rtl w:val="0"/>
              </w:rPr>
              <w:t xml:space="preserve">7000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pPr>
            <w:r w:rsidDel="00000000" w:rsidR="00000000" w:rsidRPr="00000000">
              <w:rPr>
                <w:rtl w:val="0"/>
              </w:rPr>
              <w:t xml:space="preserve">1</w:t>
            </w:r>
          </w:p>
        </w:tc>
      </w:tr>
    </w:tbl>
    <w:p w:rsidR="00000000" w:rsidDel="00000000" w:rsidP="00000000" w:rsidRDefault="00000000" w:rsidRPr="00000000" w14:paraId="0000003D">
      <w:pPr>
        <w:rPr>
          <w:i w:val="1"/>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Agora o dataframe está bem melhor para se trabalhar com algum modelo de machine learning.</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rPr>
          <w:sz w:val="28"/>
          <w:szCs w:val="28"/>
          <w:u w:val="single"/>
        </w:rPr>
      </w:pPr>
      <w:r w:rsidDel="00000000" w:rsidR="00000000" w:rsidRPr="00000000">
        <w:rPr>
          <w:sz w:val="28"/>
          <w:szCs w:val="28"/>
          <w:u w:val="single"/>
          <w:rtl w:val="0"/>
        </w:rPr>
        <w:t xml:space="preserve">One Hot Encoding</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Agora vamos transformar as variáveis nominais diretamente em numéricas na própria coluna:</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from sklearn.preprocessing import LabelEncoder</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le = LabelEncoder()</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dfle = df</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dfle.Cidade = le.fit_transform(dfle.Cidade)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 isso, ficará assim: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50">
            <w:pPr>
              <w:jc w:val="center"/>
              <w:rPr/>
            </w:pPr>
            <w:r w:rsidDel="00000000" w:rsidR="00000000" w:rsidRPr="00000000">
              <w:rPr>
                <w:rtl w:val="0"/>
              </w:rPr>
              <w:t xml:space="preserve">Cidade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1">
            <w:pPr>
              <w:jc w:val="center"/>
              <w:rPr/>
            </w:pPr>
            <w:r w:rsidDel="00000000" w:rsidR="00000000" w:rsidRPr="00000000">
              <w:rPr>
                <w:rtl w:val="0"/>
              </w:rPr>
              <w:t xml:space="preserve">Area</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52">
            <w:pPr>
              <w:jc w:val="center"/>
              <w:rPr/>
            </w:pPr>
            <w:r w:rsidDel="00000000" w:rsidR="00000000" w:rsidRPr="00000000">
              <w:rPr>
                <w:rtl w:val="0"/>
              </w:rPr>
              <w:t xml:space="preserve">Preço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rtl w:val="0"/>
              </w:rPr>
              <w:t xml:space="preserve">2000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rtl w:val="0"/>
              </w:rPr>
              <w:t xml:space="preserve">5000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rtl w:val="0"/>
              </w:rPr>
              <w:t xml:space="preserve">2400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jc w:val="center"/>
              <w:rPr/>
            </w:pPr>
            <w:r w:rsidDel="00000000" w:rsidR="00000000" w:rsidRPr="00000000">
              <w:rPr>
                <w:rtl w:val="0"/>
              </w:rPr>
              <w:t xml:space="preserve">7000</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Depois precisamos separar as variáveis X do y. X vai ser Cidade e área e y, o preço:</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rtl w:val="0"/>
        </w:rPr>
        <w:t xml:space="preserve">X = dfle[‘Cidade’, ‘Area’]</w:t>
      </w:r>
    </w:p>
    <w:p w:rsidR="00000000" w:rsidDel="00000000" w:rsidP="00000000" w:rsidRDefault="00000000" w:rsidRPr="00000000" w14:paraId="0000005E">
      <w:pPr>
        <w:rPr>
          <w:i w:val="1"/>
        </w:rPr>
      </w:pPr>
      <w:r w:rsidDel="00000000" w:rsidR="00000000" w:rsidRPr="00000000">
        <w:rPr>
          <w:i w:val="1"/>
          <w:rtl w:val="0"/>
        </w:rPr>
        <w:t xml:space="preserve">y = dfle[‘Preço’]</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Importar o OneHotEnconder, aplicar ele na coluna 0 e :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from sklearn.preprocessing import OneHotEncoder</w:t>
      </w:r>
    </w:p>
    <w:p w:rsidR="00000000" w:rsidDel="00000000" w:rsidP="00000000" w:rsidRDefault="00000000" w:rsidRPr="00000000" w14:paraId="00000063">
      <w:pPr>
        <w:rPr/>
      </w:pPr>
      <w:r w:rsidDel="00000000" w:rsidR="00000000" w:rsidRPr="00000000">
        <w:rPr>
          <w:rtl w:val="0"/>
        </w:rPr>
        <w:t xml:space="preserve">ohe = OneHotEncoder(categorical_features=[0])</w:t>
      </w:r>
    </w:p>
    <w:p w:rsidR="00000000" w:rsidDel="00000000" w:rsidP="00000000" w:rsidRDefault="00000000" w:rsidRPr="00000000" w14:paraId="00000064">
      <w:pPr>
        <w:rPr/>
      </w:pPr>
      <w:r w:rsidDel="00000000" w:rsidR="00000000" w:rsidRPr="00000000">
        <w:rPr>
          <w:rtl w:val="0"/>
        </w:rPr>
        <w:t xml:space="preserve">X = ohe.fit_transform(X).toarray()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É preciso tirar uma coluna como antes, por exemplo a 0:</w:t>
      </w:r>
    </w:p>
    <w:p w:rsidR="00000000" w:rsidDel="00000000" w:rsidP="00000000" w:rsidRDefault="00000000" w:rsidRPr="00000000" w14:paraId="00000067">
      <w:pPr>
        <w:rPr>
          <w:i w:val="1"/>
        </w:rPr>
      </w:pPr>
      <w:r w:rsidDel="00000000" w:rsidR="00000000" w:rsidRPr="00000000">
        <w:rPr>
          <w:i w:val="1"/>
          <w:rtl w:val="0"/>
        </w:rPr>
        <w:t xml:space="preserve">X = X[:,1:]</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Agora pode aplicar um modelo de machine learning como o LinearRegression</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