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jc w:val="center"/>
      </w:pPr>
      <w:r>
        <w:rPr>
          <w:rFonts w:ascii="Times New Roman" w:cs="Times New Roman" w:eastAsia="Times New Roman" w:hAnsi="Times New Roman"/>
          <w:b/>
          <w:bCs/>
          <w:sz w:val="24"/>
          <w:szCs w:val="24"/>
        </w:rPr>
        <w:t xml:space="preserve">Escuela superior politécnica de Chimborazo</w:t>
      </w:r>
    </w:p>
    <w:p>
      <w:pPr>
        <w:spacing w:before="80" w:after="80"/>
        <w:jc w:val="center"/>
      </w:pPr>
      <w:r>
        <w:rPr>
          <w:rFonts w:ascii="Times New Roman" w:cs="Times New Roman" w:eastAsia="Times New Roman" w:hAnsi="Times New Roman"/>
          <w:b/>
          <w:bCs/>
          <w:sz w:val="22"/>
          <w:szCs w:val="22"/>
        </w:rPr>
        <w:t xml:space="preserve">Facultad de salud pública</w:t>
      </w:r>
    </w:p>
    <w:p>
      <w:pPr>
        <w:spacing w:before="80" w:after="80"/>
        <w:jc w:val="center"/>
      </w:pPr>
      <w:r>
        <w:rPr>
          <w:rFonts w:ascii="Times New Roman" w:cs="Times New Roman" w:eastAsia="Times New Roman" w:hAnsi="Times New Roman"/>
          <w:b/>
          <w:bCs/>
          <w:sz w:val="22"/>
          <w:szCs w:val="22"/>
        </w:rPr>
        <w:t xml:space="preserve">Escuela de gastronomía</w:t>
      </w:r>
    </w:p>
    <w:p/>
    <w:p>
      <w:pPr>
        <w:spacing w:before="80" w:after="80"/>
        <w:jc w:val="both"/>
      </w:pPr>
      <w:r>
        <w:rPr>
          <w:rFonts w:ascii="Times New Roman" w:cs="Times New Roman" w:eastAsia="Times New Roman" w:hAnsi="Times New Roman"/>
          <w:b/>
          <w:bCs/>
          <w:sz w:val="22"/>
          <w:szCs w:val="22"/>
        </w:rPr>
        <w:t xml:space="preserve">Integrantes:</w:t>
      </w:r>
    </w:p>
    <w:p>
      <w:pPr>
        <w:pStyle w:val="ListParagraph"/>
        <w:numPr>
          <w:ilvl w:val="0"/>
          <w:numId w:val="2"/>
        </w:numPr>
      </w:pPr>
      <w:r>
        <w:rPr>
          <w:rFonts w:ascii="Times New Roman" w:cs="Times New Roman" w:eastAsia="Times New Roman" w:hAnsi="Times New Roman"/>
          <w:sz w:val="22"/>
          <w:szCs w:val="22"/>
        </w:rPr>
        <w:t xml:space="preserve">Ariana Espinoza</w:t>
      </w:r>
    </w:p>
    <w:p>
      <w:pPr>
        <w:pStyle w:val="ListParagraph"/>
        <w:numPr>
          <w:ilvl w:val="0"/>
          <w:numId w:val="2"/>
        </w:numPr>
      </w:pPr>
      <w:r>
        <w:rPr>
          <w:rFonts w:ascii="Times New Roman" w:cs="Times New Roman" w:eastAsia="Times New Roman" w:hAnsi="Times New Roman"/>
          <w:sz w:val="22"/>
          <w:szCs w:val="22"/>
        </w:rPr>
        <w:t xml:space="preserve">Samira Marín</w:t>
      </w:r>
    </w:p>
    <w:p>
      <w:pPr>
        <w:pStyle w:val="ListParagraph"/>
        <w:numPr>
          <w:ilvl w:val="0"/>
          <w:numId w:val="2"/>
        </w:numPr>
      </w:pPr>
      <w:r>
        <w:rPr>
          <w:rFonts w:ascii="Times New Roman" w:cs="Times New Roman" w:eastAsia="Times New Roman" w:hAnsi="Times New Roman"/>
          <w:sz w:val="22"/>
          <w:szCs w:val="22"/>
        </w:rPr>
        <w:t xml:space="preserve">Sisa Parco</w:t>
      </w:r>
    </w:p>
    <w:p>
      <w:pPr>
        <w:pStyle w:val="ListParagraph"/>
        <w:numPr>
          <w:ilvl w:val="0"/>
          <w:numId w:val="2"/>
        </w:numPr>
      </w:pPr>
      <w:r>
        <w:rPr>
          <w:rFonts w:ascii="Times New Roman" w:cs="Times New Roman" w:eastAsia="Times New Roman" w:hAnsi="Times New Roman"/>
          <w:sz w:val="22"/>
          <w:szCs w:val="22"/>
        </w:rPr>
        <w:t xml:space="preserve">Emily Verduga</w:t>
      </w:r>
    </w:p>
    <w:p/>
    <w:p>
      <w:pPr>
        <w:spacing w:before="80" w:after="80"/>
        <w:jc w:val="both"/>
      </w:pPr>
      <w:r>
        <w:rPr>
          <w:rFonts w:ascii="Times New Roman" w:cs="Times New Roman" w:eastAsia="Times New Roman" w:hAnsi="Times New Roman"/>
          <w:b/>
          <w:bCs/>
          <w:sz w:val="22"/>
          <w:szCs w:val="22"/>
        </w:rPr>
        <w:t xml:space="preserve">Materia: </w:t>
      </w:r>
      <w:r>
        <w:rPr>
          <w:rFonts w:ascii="Times New Roman" w:cs="Times New Roman" w:eastAsia="Times New Roman" w:hAnsi="Times New Roman"/>
          <w:sz w:val="22"/>
          <w:szCs w:val="22"/>
        </w:rPr>
        <w:t xml:space="preserve">Garde Manger</w:t>
      </w:r>
    </w:p>
    <w:p>
      <w:pPr>
        <w:spacing w:before="80" w:after="80"/>
        <w:jc w:val="both"/>
      </w:pPr>
      <w:r>
        <w:rPr>
          <w:rFonts w:ascii="Times New Roman" w:cs="Times New Roman" w:eastAsia="Times New Roman" w:hAnsi="Times New Roman"/>
          <w:b/>
          <w:bCs/>
          <w:sz w:val="22"/>
          <w:szCs w:val="22"/>
        </w:rPr>
        <w:t xml:space="preserve">Fecha: </w:t>
      </w:r>
      <w:r>
        <w:rPr>
          <w:rFonts w:ascii="Times New Roman" w:cs="Times New Roman" w:eastAsia="Times New Roman" w:hAnsi="Times New Roman"/>
          <w:sz w:val="22"/>
          <w:szCs w:val="22"/>
        </w:rPr>
        <w:t xml:space="preserve">17 / 03 / 2026</w:t>
      </w:r>
    </w:p>
    <w:p>
      <w:pPr>
        <w:spacing w:before="80" w:after="80"/>
        <w:jc w:val="both"/>
      </w:pPr>
      <w:r>
        <w:rPr>
          <w:rFonts w:ascii="Times New Roman" w:cs="Times New Roman" w:eastAsia="Times New Roman" w:hAnsi="Times New Roman"/>
          <w:b/>
          <w:bCs/>
          <w:sz w:val="22"/>
          <w:szCs w:val="22"/>
        </w:rPr>
        <w:t xml:space="preserve">Práctica N.º: </w:t>
      </w:r>
      <w:r>
        <w:rPr>
          <w:rFonts w:ascii="Times New Roman" w:cs="Times New Roman" w:eastAsia="Times New Roman" w:hAnsi="Times New Roman"/>
          <w:sz w:val="22"/>
          <w:szCs w:val="22"/>
        </w:rPr>
        <w:t xml:space="preserve">06</w:t>
      </w:r>
    </w:p>
    <w:p>
      <w:pPr>
        <w:spacing w:before="80" w:after="80"/>
        <w:jc w:val="both"/>
      </w:pPr>
      <w:r>
        <w:rPr>
          <w:rFonts w:ascii="Times New Roman" w:cs="Times New Roman" w:eastAsia="Times New Roman" w:hAnsi="Times New Roman"/>
          <w:b/>
          <w:bCs/>
          <w:sz w:val="22"/>
          <w:szCs w:val="22"/>
        </w:rPr>
        <w:t xml:space="preserve">Nombre de la práctica: </w:t>
      </w:r>
      <w:r>
        <w:rPr>
          <w:rFonts w:ascii="Times New Roman" w:cs="Times New Roman" w:eastAsia="Times New Roman" w:hAnsi="Times New Roman"/>
          <w:sz w:val="22"/>
          <w:szCs w:val="22"/>
        </w:rPr>
        <w:t xml:space="preserve">Garnish — Arte decorativo con frutas, verduras y cítricos</w:t>
      </w:r>
    </w:p>
    <w:p/>
    <w:p>
      <w:pPr>
        <w:spacing w:before="200" w:after="100"/>
      </w:pPr>
      <w:r>
        <w:rPr>
          <w:rFonts w:ascii="Times New Roman" w:cs="Times New Roman" w:eastAsia="Times New Roman" w:hAnsi="Times New Roman"/>
          <w:b/>
          <w:bCs/>
          <w:sz w:val="24"/>
          <w:szCs w:val="24"/>
        </w:rPr>
        <w:t xml:space="preserve">1.   Objetivo general</w:t>
      </w:r>
    </w:p>
    <w:p>
      <w:pPr>
        <w:spacing w:before="80" w:after="80"/>
        <w:jc w:val="both"/>
      </w:pPr>
      <w:r>
        <w:rPr>
          <w:rFonts w:ascii="Times New Roman" w:cs="Times New Roman" w:eastAsia="Times New Roman" w:hAnsi="Times New Roman"/>
          <w:sz w:val="22"/>
          <w:szCs w:val="22"/>
        </w:rPr>
        <w:t xml:space="preserve">Desarrollar destrezas técnicas y creativas en el arte del garnish mediante el tallado, modelado y presentación de frutas, verduras y cítricos, tomando como base los principios del mukimono y el carving asiático para elevar la calidad estética y profesional de las preparaciones gastronómicas.</w:t>
      </w:r>
    </w:p>
    <w:p/>
    <w:p>
      <w:pPr>
        <w:spacing w:before="200" w:after="100"/>
      </w:pPr>
      <w:r>
        <w:rPr>
          <w:rFonts w:ascii="Times New Roman" w:cs="Times New Roman" w:eastAsia="Times New Roman" w:hAnsi="Times New Roman"/>
          <w:b/>
          <w:bCs/>
          <w:sz w:val="24"/>
          <w:szCs w:val="24"/>
        </w:rPr>
        <w:t xml:space="preserve">2.   Objetivos específicos</w:t>
      </w:r>
    </w:p>
    <w:p>
      <w:pPr>
        <w:pStyle w:val="ListParagraph"/>
        <w:numPr>
          <w:ilvl w:val="0"/>
          <w:numId w:val="2"/>
        </w:numPr>
      </w:pPr>
      <w:r>
        <w:rPr>
          <w:rFonts w:ascii="Times New Roman" w:cs="Times New Roman" w:eastAsia="Times New Roman" w:hAnsi="Times New Roman"/>
          <w:sz w:val="22"/>
          <w:szCs w:val="22"/>
        </w:rPr>
        <w:t xml:space="preserve">Aplicar técnicas de corte de precisión —tallado, torneado y espirales— sobre verduras y frutas frescas, garantizando seguridad en el manejo del equipo de corte.</w:t>
      </w:r>
    </w:p>
    <w:p>
      <w:pPr>
        <w:pStyle w:val="ListParagraph"/>
        <w:numPr>
          <w:ilvl w:val="0"/>
          <w:numId w:val="2"/>
        </w:numPr>
      </w:pPr>
      <w:r>
        <w:rPr>
          <w:rFonts w:ascii="Times New Roman" w:cs="Times New Roman" w:eastAsia="Times New Roman" w:hAnsi="Times New Roman"/>
          <w:sz w:val="22"/>
          <w:szCs w:val="22"/>
        </w:rPr>
        <w:t xml:space="preserve">Diseñar composiciones decorativas que integren criterios de armonía cromática, equilibrio visual y aprovechamiento del producto, alineados con los estándares del Garde Manger profesional.</w:t>
      </w:r>
    </w:p>
    <w:p>
      <w:pPr>
        <w:pStyle w:val="ListParagraph"/>
        <w:numPr>
          <w:ilvl w:val="0"/>
          <w:numId w:val="2"/>
        </w:numPr>
      </w:pPr>
      <w:r>
        <w:rPr>
          <w:rFonts w:ascii="Times New Roman" w:cs="Times New Roman" w:eastAsia="Times New Roman" w:hAnsi="Times New Roman"/>
          <w:sz w:val="22"/>
          <w:szCs w:val="22"/>
        </w:rPr>
        <w:t xml:space="preserve">Reconocer el origen histórico y las variantes estilísticas del garnish —thai, mukimono y carving chino— para fundamentar la práctica en su contexto cultural.</w:t>
      </w:r>
    </w:p>
    <w:p/>
    <w:p>
      <w:pPr>
        <w:spacing w:before="200" w:after="100"/>
      </w:pPr>
      <w:r>
        <w:rPr>
          <w:rFonts w:ascii="Times New Roman" w:cs="Times New Roman" w:eastAsia="Times New Roman" w:hAnsi="Times New Roman"/>
          <w:b/>
          <w:bCs/>
          <w:sz w:val="24"/>
          <w:szCs w:val="24"/>
        </w:rPr>
        <w:t xml:space="preserve">3.   Fundamento teórico</w:t>
      </w:r>
    </w:p>
    <w:p>
      <w:pPr>
        <w:spacing w:before="80" w:after="80"/>
        <w:jc w:val="both"/>
      </w:pPr>
      <w:r>
        <w:rPr>
          <w:rFonts w:ascii="Times New Roman" w:cs="Times New Roman" w:eastAsia="Times New Roman" w:hAnsi="Times New Roman"/>
          <w:sz w:val="22"/>
          <w:szCs w:val="22"/>
        </w:rPr>
        <w:t xml:space="preserve">El garnish —del francés antiguo </w:t>
      </w:r>
      <w:r>
        <w:rPr>
          <w:rFonts w:ascii="Times New Roman" w:cs="Times New Roman" w:eastAsia="Times New Roman" w:hAnsi="Times New Roman"/>
          <w:i/>
          <w:iCs/>
          <w:sz w:val="22"/>
          <w:szCs w:val="22"/>
        </w:rPr>
        <w:t xml:space="preserve">garnir</w:t>
      </w:r>
      <w:r>
        <w:rPr>
          <w:rFonts w:ascii="Times New Roman" w:cs="Times New Roman" w:eastAsia="Times New Roman" w:hAnsi="Times New Roman"/>
          <w:sz w:val="22"/>
          <w:szCs w:val="22"/>
        </w:rPr>
        <w:t xml:space="preserve">, «adornar» o «proveer»— designa el conjunto de técnicas culinarias orientadas a embellecer alimentos y bebidas mediante elementos comestibles. Más allá de la decoración superficial, el garnish persigue resaltar texturas, aromas y sabores al tiempo que añade valor visual a la preparación (Rodríguez, 2016). Su práctica se enmarca dentro de la partida fría de la cocina occidental, el </w:t>
      </w:r>
      <w:r>
        <w:rPr>
          <w:rFonts w:ascii="Times New Roman" w:cs="Times New Roman" w:eastAsia="Times New Roman" w:hAnsi="Times New Roman"/>
          <w:i/>
          <w:iCs/>
          <w:sz w:val="22"/>
          <w:szCs w:val="22"/>
        </w:rPr>
        <w:t xml:space="preserve">Garde Manger</w:t>
      </w:r>
      <w:r>
        <w:rPr>
          <w:rFonts w:ascii="Times New Roman" w:cs="Times New Roman" w:eastAsia="Times New Roman" w:hAnsi="Times New Roman"/>
          <w:sz w:val="22"/>
          <w:szCs w:val="22"/>
        </w:rPr>
        <w:t xml:space="preserve">, área responsable tanto de la conservación en frío como de la presentación artística de los platos (Páez &amp; Guerrero, 2019).</w:t>
      </w:r>
    </w:p>
    <w:p/>
    <w:p>
      <w:pPr>
        <w:spacing w:before="80" w:after="80"/>
        <w:jc w:val="both"/>
      </w:pPr>
      <w:r>
        <w:rPr>
          <w:rFonts w:ascii="Times New Roman" w:cs="Times New Roman" w:eastAsia="Times New Roman" w:hAnsi="Times New Roman"/>
          <w:sz w:val="22"/>
          <w:szCs w:val="22"/>
        </w:rPr>
        <w:t xml:space="preserve">Los antecedentes del tallado en alimentos se remontan a la China de la dinastía Tang (618–907 d. C.), donde se atribuye al maestro Huang Long la sistematización de las primeras técnicas de escultura en frutas y vegetales. Este conocimiento migró al sureste asiático y encontró en Tailandia —durante la dinastía Sukhothai, hacia 1364— un campo fértil para su desarrollo, dando origen al estilo thai, caracterizado por repeticiones florales modulares con gran simetría (Gisslen, 2018). Más tarde, Japón incorporó estas influencias dentro del concepto de </w:t>
      </w:r>
      <w:r>
        <w:rPr>
          <w:rFonts w:ascii="Times New Roman" w:cs="Times New Roman" w:eastAsia="Times New Roman" w:hAnsi="Times New Roman"/>
          <w:i/>
          <w:iCs/>
          <w:sz w:val="22"/>
          <w:szCs w:val="22"/>
        </w:rPr>
        <w:t xml:space="preserve">mukimono</w:t>
      </w:r>
      <w:r>
        <w:rPr>
          <w:rFonts w:ascii="Times New Roman" w:cs="Times New Roman" w:eastAsia="Times New Roman" w:hAnsi="Times New Roman"/>
          <w:sz w:val="22"/>
          <w:szCs w:val="22"/>
        </w:rPr>
        <w:t xml:space="preserve"> —«arte decorativo de cuchillo»—, que hoy, junto con la escuela </w:t>
      </w:r>
      <w:r>
        <w:rPr>
          <w:rFonts w:ascii="Times New Roman" w:cs="Times New Roman" w:eastAsia="Times New Roman" w:hAnsi="Times New Roman"/>
          <w:i/>
          <w:iCs/>
          <w:sz w:val="22"/>
          <w:szCs w:val="22"/>
        </w:rPr>
        <w:t xml:space="preserve">Kaishiki</w:t>
      </w:r>
      <w:r>
        <w:rPr>
          <w:rFonts w:ascii="Times New Roman" w:cs="Times New Roman" w:eastAsia="Times New Roman" w:hAnsi="Times New Roman"/>
          <w:sz w:val="22"/>
          <w:szCs w:val="22"/>
        </w:rPr>
        <w:t xml:space="preserve"> («manejo de cuchillos»), constituye la base de la gastronomía artística en la cocina profesional japonesa (Tschumi &amp; Goldstein, 2003).</w:t>
      </w:r>
    </w:p>
    <w:p/>
    <w:p>
      <w:pPr>
        <w:spacing w:before="80" w:after="80"/>
        <w:jc w:val="both"/>
      </w:pPr>
      <w:r>
        <w:rPr>
          <w:rFonts w:ascii="Times New Roman" w:cs="Times New Roman" w:eastAsia="Times New Roman" w:hAnsi="Times New Roman"/>
          <w:sz w:val="22"/>
          <w:szCs w:val="22"/>
        </w:rPr>
        <w:t xml:space="preserve">Los tres grandes estilos contemporáneos del garnish presentan características diferenciadas:</w:t>
      </w:r>
    </w:p>
    <w:p>
      <w:pPr>
        <w:pStyle w:val="ListParagraph"/>
        <w:numPr>
          <w:ilvl w:val="0"/>
          <w:numId w:val="2"/>
        </w:numPr>
      </w:pPr>
      <w:r>
        <w:rPr>
          <w:rFonts w:ascii="Times New Roman" w:cs="Times New Roman" w:eastAsia="Times New Roman" w:hAnsi="Times New Roman"/>
          <w:b/>
          <w:bCs/>
          <w:sz w:val="22"/>
          <w:szCs w:val="22"/>
        </w:rPr>
        <w:t xml:space="preserve">Thai: </w:t>
      </w:r>
      <w:r>
        <w:rPr>
          <w:rFonts w:ascii="Times New Roman" w:cs="Times New Roman" w:eastAsia="Times New Roman" w:hAnsi="Times New Roman"/>
          <w:sz w:val="22"/>
          <w:szCs w:val="22"/>
        </w:rPr>
        <w:t xml:space="preserve">Composiciones florales repetitivas y simétricas, construidas pétalo a pétalo sobre un eje central. Predominan chiles, cebollas, raíces y flores de melón.</w:t>
      </w:r>
    </w:p>
    <w:p>
      <w:pPr>
        <w:pStyle w:val="ListParagraph"/>
        <w:numPr>
          <w:ilvl w:val="0"/>
          <w:numId w:val="2"/>
        </w:numPr>
      </w:pPr>
      <w:r>
        <w:rPr>
          <w:rFonts w:ascii="Times New Roman" w:cs="Times New Roman" w:eastAsia="Times New Roman" w:hAnsi="Times New Roman"/>
          <w:b/>
          <w:bCs/>
          <w:sz w:val="22"/>
          <w:szCs w:val="22"/>
        </w:rPr>
        <w:t xml:space="preserve">Mukimono: </w:t>
      </w:r>
      <w:r>
        <w:rPr>
          <w:rFonts w:ascii="Times New Roman" w:cs="Times New Roman" w:eastAsia="Times New Roman" w:hAnsi="Times New Roman"/>
          <w:sz w:val="22"/>
          <w:szCs w:val="22"/>
        </w:rPr>
        <w:t xml:space="preserve">Arte decorativo de origen japonés que privilegia formas naturales —flores, hojas, aves— ejecutadas con cuchillos de hoja delgada sobre una sola pieza de vegetal o fruta.</w:t>
      </w:r>
    </w:p>
    <w:p>
      <w:pPr>
        <w:pStyle w:val="ListParagraph"/>
        <w:numPr>
          <w:ilvl w:val="0"/>
          <w:numId w:val="2"/>
        </w:numPr>
      </w:pPr>
      <w:r>
        <w:rPr>
          <w:rFonts w:ascii="Times New Roman" w:cs="Times New Roman" w:eastAsia="Times New Roman" w:hAnsi="Times New Roman"/>
          <w:b/>
          <w:bCs/>
          <w:sz w:val="22"/>
          <w:szCs w:val="22"/>
        </w:rPr>
        <w:t xml:space="preserve">Carving chino: </w:t>
      </w:r>
      <w:r>
        <w:rPr>
          <w:rFonts w:ascii="Times New Roman" w:cs="Times New Roman" w:eastAsia="Times New Roman" w:hAnsi="Times New Roman"/>
          <w:sz w:val="22"/>
          <w:szCs w:val="22"/>
        </w:rPr>
        <w:t xml:space="preserve">Escultura tridimensional labrada en una sola pieza; requiere sandías, calabazas y melones de gran tamaño. Admite letras, relieves y figuras figurativas complejas (Gisslen, 2018).</w:t>
      </w:r>
    </w:p>
    <w:p/>
    <w:p>
      <w:pPr>
        <w:spacing w:before="80" w:after="80"/>
        <w:jc w:val="both"/>
      </w:pPr>
      <w:r>
        <w:rPr>
          <w:rFonts w:ascii="Times New Roman" w:cs="Times New Roman" w:eastAsia="Times New Roman" w:hAnsi="Times New Roman"/>
          <w:sz w:val="22"/>
          <w:szCs w:val="22"/>
        </w:rPr>
        <w:t xml:space="preserve">En el ámbito de la gastronomía latinoamericana, la incorporación del garnish ha cobrado relevancia como diferenciador competitivo. Estudios recientes señalan que la presentación visual de un plato influye en más del 60 % de la percepción inicial del comensal sobre la calidad del alimento, antes de que este lo pruebe (Miramontes, 2021). Esto convierte al garnish en una herramienta tanto estética como estratégica dentro de la gestión de restaurantes.</w:t>
      </w:r>
    </w:p>
    <w:p/>
    <w:p>
      <w:pPr>
        <w:spacing w:before="200" w:after="100"/>
      </w:pPr>
      <w:r>
        <w:rPr>
          <w:rFonts w:ascii="Times New Roman" w:cs="Times New Roman" w:eastAsia="Times New Roman" w:hAnsi="Times New Roman"/>
          <w:b/>
          <w:bCs/>
          <w:sz w:val="24"/>
          <w:szCs w:val="24"/>
        </w:rPr>
        <w:t xml:space="preserve">4.   Recetas estándar y procedimiento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700"/>
        <w:gridCol w:w="700"/>
        <w:gridCol w:w="1100"/>
        <w:gridCol w:w="1000"/>
        <w:gridCol w:w="1000"/>
        <w:gridCol w:w="1060"/>
      </w:tblGrid>
      <w:tr>
        <w:tc>
          <w:tcPr>
            <w:gridSpan w:val="8"/>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ESCUELA SUPERIOR POLITÉCNICA DE CHIMBORAZO
FACULTAD DE SALUD PÚBLICA
CARRERA DE GASTRONOMÍA
FICHA DE RECETA ESTÁNDAR</w:t>
            </w:r>
          </w:p>
        </w:tc>
      </w:tr>
      <w:tr>
        <w:tc>
          <w:tcPr>
            <w:gridSpan w:val="2"/>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sz w:val="18"/>
                <w:szCs w:val="18"/>
              </w:rPr>
              <w:t xml:space="preserve">NOMBRE DE LA/S PREPARACIÓN/ES:</w:t>
            </w:r>
          </w:p>
        </w:tc>
        <w:tc>
          <w:tcPr>
            <w:gridSpan w:val="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Tallado en verduras, frutas y cítricos</w:t>
            </w:r>
          </w:p>
        </w:tc>
        <w:tc>
          <w:tcPr>
            <w:gridSpan w:val="1"/>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sz w:val="18"/>
                <w:szCs w:val="18"/>
              </w:rPr>
              <w:t xml:space="preserve">FECHA DE ELABORACIÓN</w:t>
            </w:r>
          </w:p>
        </w:tc>
        <w:tc>
          <w:tcPr>
            <w:gridSpan w:val="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17 / 03 / 2026</w:t>
            </w:r>
          </w:p>
        </w:tc>
      </w:tr>
      <w:tr>
        <w:tc>
          <w:tcPr>
            <w:gridSpan w:val="1"/>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sz w:val="18"/>
                <w:szCs w:val="18"/>
              </w:rPr>
              <w:t xml:space="preserve">TIPO DE MENÚ</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BOCADITO</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ENTRADA</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PLATO FUERTE</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POSTRE</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MENÚ COMPLETO</w:t>
            </w:r>
          </w:p>
        </w:tc>
        <w:tc>
          <w:tcPr>
            <w:gridSpan w:val="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OTROS (Guarnición)  ✔</w:t>
            </w:r>
          </w:p>
        </w:tc>
      </w:tr>
      <w:tr>
        <w:tc>
          <w:tcPr>
            <w:gridSpan w:val="1"/>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sz w:val="18"/>
                <w:szCs w:val="18"/>
              </w:rPr>
              <w:t xml:space="preserve">CONSERVACIÓN</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gridSpan w:val="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Refrigeración  ✔</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Congelación</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Otros</w:t>
            </w:r>
          </w:p>
        </w:tc>
      </w:tr>
      <w:tr>
        <w:tc>
          <w:tcPr>
            <w:gridSpan w:val="1"/>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8"/>
                <w:szCs w:val="18"/>
              </w:rPr>
              <w:t xml:space="preserve">N°</w:t>
            </w:r>
          </w:p>
        </w:tc>
        <w:tc>
          <w:tcPr>
            <w:gridSpan w:val="1"/>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8"/>
                <w:szCs w:val="18"/>
              </w:rPr>
              <w:t xml:space="preserve">PRODUCTO</w:t>
            </w:r>
          </w:p>
        </w:tc>
        <w:tc>
          <w:tcPr>
            <w:gridSpan w:val="1"/>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8"/>
                <w:szCs w:val="18"/>
              </w:rPr>
              <w:t xml:space="preserve">CANTIDAD</w:t>
            </w:r>
          </w:p>
        </w:tc>
        <w:tc>
          <w:tcPr>
            <w:gridSpan w:val="1"/>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8"/>
                <w:szCs w:val="18"/>
              </w:rPr>
              <w:t xml:space="preserve">UNIDAD</w:t>
            </w:r>
          </w:p>
        </w:tc>
        <w:tc>
          <w:tcPr>
            <w:gridSpan w:val="1"/>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8"/>
                <w:szCs w:val="18"/>
              </w:rPr>
              <w:t xml:space="preserve">CORTES</w:t>
            </w:r>
          </w:p>
        </w:tc>
        <w:tc>
          <w:tcPr>
            <w:gridSpan w:val="3"/>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8"/>
                <w:szCs w:val="18"/>
              </w:rPr>
              <w:t xml:space="preserve">TÉCNICA CULINARIA</w:t>
            </w:r>
          </w:p>
        </w:tc>
      </w:tr>
      <w:tr>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gridSpan w:val="1"/>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8"/>
                <w:szCs w:val="18"/>
              </w:rPr>
              <w:t xml:space="preserve">Mise en place</w:t>
            </w:r>
          </w:p>
        </w:tc>
        <w:tc>
          <w:tcPr>
            <w:gridSpan w:val="1"/>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8"/>
                <w:szCs w:val="18"/>
              </w:rPr>
              <w:t xml:space="preserve">MÉTODO DE COCCIÓN</w:t>
            </w:r>
          </w:p>
        </w:tc>
        <w:tc>
          <w:tcPr>
            <w:gridSpan w:val="1"/>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8"/>
                <w:szCs w:val="18"/>
              </w:rPr>
              <w:t xml:space="preserve">APLICACIÓN</w:t>
            </w:r>
          </w:p>
        </w:tc>
      </w:tr>
      <w:tr>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Zanahoria grande</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Und</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Tallado de rosa</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Lavado y pelado</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Ninguna</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Decoraciones</w:t>
            </w:r>
          </w:p>
        </w:tc>
      </w:tr>
      <w:tr>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Cebolla grande</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Und</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Flor de loto</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Lavado y pelado</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Ninguna</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Decoraciones</w:t>
            </w:r>
          </w:p>
        </w:tc>
      </w:tr>
      <w:tr>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Manzanas verdes</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Und</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Cisne</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Lavado</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Ninguna</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Decoraciones</w:t>
            </w:r>
          </w:p>
        </w:tc>
      </w:tr>
      <w:tr>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4</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Sandía</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Und</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Letras 3D</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Lavado</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Ninguna</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Decoraciones</w:t>
            </w:r>
          </w:p>
        </w:tc>
      </w:tr>
      <w:tr>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5</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Melón</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Und</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Canasta de melón</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Lavado</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Ninguna</w:t>
            </w:r>
          </w:p>
        </w:tc>
        <w:tc>
          <w:tcPr>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Decoraciones</w:t>
            </w:r>
          </w:p>
        </w:tc>
      </w:tr>
      <w:tr>
        <w:tc>
          <w:tcPr>
            <w:tcW w:type="dxa" w:w="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6</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11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6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r>
      <w:tr>
        <w:tc>
          <w:tcPr>
            <w:tcW w:type="dxa" w:w="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7</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11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6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r>
      <w:tr>
        <w:tc>
          <w:tcPr>
            <w:tcW w:type="dxa" w:w="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8</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11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6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r>
      <w:tr>
        <w:tc>
          <w:tcPr>
            <w:tcW w:type="dxa" w:w="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9</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11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6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r>
      <w:tr>
        <w:tc>
          <w:tcPr>
            <w:tcW w:type="dxa" w:w="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10</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11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6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r>
      <w:tr>
        <w:tc>
          <w:tcPr>
            <w:tcW w:type="dxa" w:w="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11</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11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6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r>
      <w:tr>
        <w:tc>
          <w:tcPr>
            <w:tcW w:type="dxa" w:w="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12</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11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6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r>
      <w:tr>
        <w:tc>
          <w:tcPr>
            <w:tcW w:type="dxa" w:w="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13</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11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6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r>
      <w:tr>
        <w:tc>
          <w:tcPr>
            <w:tcW w:type="dxa" w:w="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14</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11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06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r>
      <w:tr>
        <w:tc>
          <w:tcPr>
            <w:gridSpan w:val="2"/>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sz w:val="18"/>
                <w:szCs w:val="18"/>
              </w:rPr>
              <w:t xml:space="preserve">Procedimiento</w:t>
            </w:r>
          </w:p>
        </w:tc>
        <w:tc>
          <w:tcPr>
            <w:gridSpan w:val="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Zanahoria (rosa): Pelar y cortar base ancha en forma de domo. Marcar 5 pétalos en el lado curvo con el cuchillo, cortar cada pétalo dejando la base unida y retirar el material posterior para lograr capas delgadas. Repetir de 4 a 6 capas, reduciendo el tamaño hacia el centro.
Cebolla (flor de loto): Retirar capa exterior seca y nivelar la base sin quitar el nudo de raíz. Insertar el cuchillo en diagonal desde el centro y realizar cortes en zig-zag alrededor de toda la cebolla hasta el corazón; separar suavemente las dos mitades.
Manzana (cisne): Cortar una rebanada lateral como base. Dividir la manzana en dos partes; en la mitad mayor, realizar cortes en "L" superpuestos para formar capas de alas. De la otra mitad, tallar la cabeza con pico y cuello; insertar las semillas como ojos y ensamblar cabeza en el cuerpo.
Sandía (letras 3D): Elegir sandía simétrica de cáscara gruesa. Trazar el diseño con marcador, ejecutar cortes superficiales (≈2 mm) sobre las líneas y desbastar la cáscara verde alrededor de cada letra hasta exponer la parte blanca o roja, dando profundidad al relieve.
Melón (canasta): Cortar rebanada inferior para estabilidad. Trazar dos líneas verticales paralelas en la parte superior para el asa (≈1.5–2 cm). Retirar los cuartos laterales superiores y vaciar el interior con cuchara parisién hasta dejarlo liso.</w:t>
            </w:r>
          </w:p>
        </w:tc>
      </w:tr>
      <w:tr>
        <w:tc>
          <w:tcPr>
            <w:gridSpan w:val="4"/>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8"/>
                <w:szCs w:val="18"/>
              </w:rPr>
              <w:t xml:space="preserve">TRADICIONAL  ✔</w:t>
            </w:r>
          </w:p>
        </w:tc>
        <w:tc>
          <w:tcPr>
            <w:gridSpan w:val="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8"/>
                <w:szCs w:val="18"/>
              </w:rPr>
              <w:t xml:space="preserve">NO TRADICIONAL</w:t>
            </w:r>
          </w:p>
        </w:tc>
      </w:tr>
    </w:tbl>
    <w:p/>
    <w:p>
      <w:pPr>
        <w:spacing w:before="200" w:after="100"/>
      </w:pPr>
      <w:r>
        <w:rPr>
          <w:rFonts w:ascii="Times New Roman" w:cs="Times New Roman" w:eastAsia="Times New Roman" w:hAnsi="Times New Roman"/>
          <w:b/>
          <w:bCs/>
          <w:sz w:val="24"/>
          <w:szCs w:val="24"/>
        </w:rPr>
        <w:t xml:space="preserve">5.   Conclusiones</w:t>
      </w:r>
    </w:p>
    <w:p>
      <w:pPr>
        <w:pStyle w:val="ListParagraph"/>
        <w:numPr>
          <w:ilvl w:val="0"/>
          <w:numId w:val="2"/>
        </w:numPr>
      </w:pPr>
      <w:r>
        <w:rPr>
          <w:rFonts w:ascii="Times New Roman" w:cs="Times New Roman" w:eastAsia="Times New Roman" w:hAnsi="Times New Roman"/>
          <w:sz w:val="22"/>
          <w:szCs w:val="22"/>
        </w:rPr>
        <w:t xml:space="preserve">El dominio de las técnicas de tallado en vegetales y frutas mejora significativamente la calidad estética de las preparaciones gastronómicas, posicionando al estudiante dentro de los estándares de presentación que demanda la cocina profesional contemporánea.</w:t>
      </w:r>
    </w:p>
    <w:p>
      <w:pPr>
        <w:pStyle w:val="ListParagraph"/>
        <w:numPr>
          <w:ilvl w:val="0"/>
          <w:numId w:val="2"/>
        </w:numPr>
      </w:pPr>
      <w:r>
        <w:rPr>
          <w:rFonts w:ascii="Times New Roman" w:cs="Times New Roman" w:eastAsia="Times New Roman" w:hAnsi="Times New Roman"/>
          <w:sz w:val="22"/>
          <w:szCs w:val="22"/>
        </w:rPr>
        <w:t xml:space="preserve">La hidratación inmediata de las piezas talladas en agua fría resultó determinante para preservar la forma obtenida y retrasar la oxidación, especialmente en manzanas y pimientos, lo que ratifica la importancia del mise en place riguroso en toda práctica de garnish.</w:t>
      </w:r>
    </w:p>
    <w:p>
      <w:pPr>
        <w:pStyle w:val="ListParagraph"/>
        <w:numPr>
          <w:ilvl w:val="0"/>
          <w:numId w:val="2"/>
        </w:numPr>
      </w:pPr>
      <w:r>
        <w:rPr>
          <w:rFonts w:ascii="Times New Roman" w:cs="Times New Roman" w:eastAsia="Times New Roman" w:hAnsi="Times New Roman"/>
          <w:sz w:val="22"/>
          <w:szCs w:val="22"/>
        </w:rPr>
        <w:t xml:space="preserve">El conocimiento del contexto histórico-cultural del mukimono y del carving asiático enriquece la práctica técnica, al dotar al estudiante de criterios estilísticos que distinguen cada escuela y permiten seleccionar el enfoque más adecuado según el tipo de servicio y presentación requeridos.</w:t>
      </w:r>
    </w:p>
    <w:p/>
    <w:p>
      <w:pPr>
        <w:spacing w:before="200" w:after="100"/>
      </w:pPr>
      <w:r>
        <w:rPr>
          <w:rFonts w:ascii="Times New Roman" w:cs="Times New Roman" w:eastAsia="Times New Roman" w:hAnsi="Times New Roman"/>
          <w:b/>
          <w:bCs/>
          <w:sz w:val="24"/>
          <w:szCs w:val="24"/>
        </w:rPr>
        <w:t xml:space="preserve">6.   Recomendaciones</w:t>
      </w:r>
    </w:p>
    <w:p>
      <w:pPr>
        <w:pStyle w:val="ListParagraph"/>
        <w:numPr>
          <w:ilvl w:val="0"/>
          <w:numId w:val="2"/>
        </w:numPr>
      </w:pPr>
      <w:r>
        <w:rPr>
          <w:rFonts w:ascii="Times New Roman" w:cs="Times New Roman" w:eastAsia="Times New Roman" w:hAnsi="Times New Roman"/>
          <w:sz w:val="22"/>
          <w:szCs w:val="22"/>
        </w:rPr>
        <w:t xml:space="preserve">Mantener los cuchillos de oficio correctamente afilados antes de cada práctica; un filo deficiente aumenta el riesgo de accidentes y deteriora la calidad del corte, comprometiendo la precisión del tallado.</w:t>
      </w:r>
    </w:p>
    <w:p>
      <w:pPr>
        <w:pStyle w:val="ListParagraph"/>
        <w:numPr>
          <w:ilvl w:val="0"/>
          <w:numId w:val="2"/>
        </w:numPr>
      </w:pPr>
      <w:r>
        <w:rPr>
          <w:rFonts w:ascii="Times New Roman" w:cs="Times New Roman" w:eastAsia="Times New Roman" w:hAnsi="Times New Roman"/>
          <w:sz w:val="22"/>
          <w:szCs w:val="22"/>
        </w:rPr>
        <w:t xml:space="preserve">Seleccionar ingredientes en su punto óptimo de madurez: los vegetales demasiado maduros pierden firmeza y dificultan el tallado fino, mientras que los productos excesivamente jóvenes pueden carecer del color y la humedad necesarios para obtener un resultado visual atractivo.</w:t>
      </w:r>
    </w:p>
    <w:p>
      <w:pPr>
        <w:pStyle w:val="ListParagraph"/>
        <w:numPr>
          <w:ilvl w:val="0"/>
          <w:numId w:val="2"/>
        </w:numPr>
      </w:pPr>
      <w:r>
        <w:rPr>
          <w:rFonts w:ascii="Times New Roman" w:cs="Times New Roman" w:eastAsia="Times New Roman" w:hAnsi="Times New Roman"/>
          <w:sz w:val="22"/>
          <w:szCs w:val="22"/>
        </w:rPr>
        <w:t xml:space="preserve">Ampliar el repertorio de técnicas integrando referencias bibliográficas especializadas en carving asiático —como Gisslen (2018) o Miramontes (2021)— y explorar el uso de raíces autóctonas andinas (zanahoria blanca, jícama, oca) para dar identidad local a las composiciones decorativas.</w:t>
      </w:r>
    </w:p>
    <w:p/>
    <w:p>
      <w:pPr>
        <w:spacing w:before="200" w:after="100"/>
      </w:pPr>
      <w:r>
        <w:rPr>
          <w:rFonts w:ascii="Times New Roman" w:cs="Times New Roman" w:eastAsia="Times New Roman" w:hAnsi="Times New Roman"/>
          <w:b/>
          <w:bCs/>
          <w:sz w:val="24"/>
          <w:szCs w:val="24"/>
        </w:rPr>
        <w:t xml:space="preserve">7.   Anexos</w:t>
      </w:r>
    </w:p>
    <w:p>
      <w:pPr>
        <w:spacing w:before="80" w:after="80"/>
        <w:jc w:val="both"/>
      </w:pPr>
      <w:r>
        <w:rPr>
          <w:rFonts w:ascii="Times New Roman" w:cs="Times New Roman" w:eastAsia="Times New Roman" w:hAnsi="Times New Roman"/>
          <w:sz w:val="22"/>
          <w:szCs w:val="22"/>
        </w:rPr>
        <w:t xml:space="preserve">Registro fotográfico de las piezas elaboradas durante la práctica (ver carpeta adjunta).</w:t>
      </w:r>
    </w:p>
    <w:p/>
    <w:p>
      <w:pPr>
        <w:spacing w:before="200" w:after="100"/>
      </w:pPr>
      <w:r>
        <w:rPr>
          <w:rFonts w:ascii="Times New Roman" w:cs="Times New Roman" w:eastAsia="Times New Roman" w:hAnsi="Times New Roman"/>
          <w:b/>
          <w:bCs/>
          <w:sz w:val="24"/>
          <w:szCs w:val="24"/>
        </w:rPr>
        <w:t xml:space="preserve">8.   Bibliografía</w:t>
      </w:r>
    </w:p>
    <w:p>
      <w:pPr>
        <w:spacing w:before="80" w:after="80"/>
        <w:jc w:val="left"/>
      </w:pPr>
      <w:r>
        <w:rPr>
          <w:rFonts w:ascii="Times New Roman" w:cs="Times New Roman" w:eastAsia="Times New Roman" w:hAnsi="Times New Roman"/>
          <w:sz w:val="22"/>
          <w:szCs w:val="22"/>
        </w:rPr>
        <w:t xml:space="preserve">Gisslen, W. (2018). </w:t>
      </w:r>
      <w:r>
        <w:rPr>
          <w:rFonts w:ascii="Times New Roman" w:cs="Times New Roman" w:eastAsia="Times New Roman" w:hAnsi="Times New Roman"/>
          <w:i/>
          <w:iCs/>
          <w:sz w:val="22"/>
          <w:szCs w:val="22"/>
        </w:rPr>
        <w:t xml:space="preserve">Professional cooking</w:t>
      </w:r>
      <w:r>
        <w:rPr>
          <w:rFonts w:ascii="Times New Roman" w:cs="Times New Roman" w:eastAsia="Times New Roman" w:hAnsi="Times New Roman"/>
          <w:sz w:val="22"/>
          <w:szCs w:val="22"/>
        </w:rPr>
        <w:t xml:space="preserve"> (9.ª ed.). John Wiley &amp; Sons.</w:t>
      </w:r>
    </w:p>
    <w:p/>
    <w:p>
      <w:pPr>
        <w:spacing w:before="80" w:after="80"/>
        <w:jc w:val="left"/>
      </w:pPr>
      <w:r>
        <w:rPr>
          <w:rFonts w:ascii="Times New Roman" w:cs="Times New Roman" w:eastAsia="Times New Roman" w:hAnsi="Times New Roman"/>
          <w:sz w:val="22"/>
          <w:szCs w:val="22"/>
        </w:rPr>
        <w:t xml:space="preserve">Miramontes, L. A. (2021). Percepción visual y valoración gastronómica: impacto de la presentación en la experiencia del comensal. </w:t>
      </w:r>
      <w:r>
        <w:rPr>
          <w:rFonts w:ascii="Times New Roman" w:cs="Times New Roman" w:eastAsia="Times New Roman" w:hAnsi="Times New Roman"/>
          <w:i/>
          <w:iCs/>
          <w:sz w:val="22"/>
          <w:szCs w:val="22"/>
        </w:rPr>
        <w:t xml:space="preserve">Revista Culinaria Iberoamericana</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14</w:t>
      </w:r>
      <w:r>
        <w:rPr>
          <w:rFonts w:ascii="Times New Roman" w:cs="Times New Roman" w:eastAsia="Times New Roman" w:hAnsi="Times New Roman"/>
          <w:sz w:val="22"/>
          <w:szCs w:val="22"/>
        </w:rPr>
        <w:t xml:space="preserve">(2), 45–58. https://doi.org/10.22201/rci.2021.14.2.003</w:t>
      </w:r>
    </w:p>
    <w:p/>
    <w:p>
      <w:pPr>
        <w:spacing w:before="80" w:after="80"/>
        <w:jc w:val="left"/>
      </w:pPr>
      <w:r>
        <w:rPr>
          <w:rFonts w:ascii="Times New Roman" w:cs="Times New Roman" w:eastAsia="Times New Roman" w:hAnsi="Times New Roman"/>
          <w:sz w:val="22"/>
          <w:szCs w:val="22"/>
        </w:rPr>
        <w:t xml:space="preserve">Páez, M., &amp; Guerrero, R. (2019). </w:t>
      </w:r>
      <w:r>
        <w:rPr>
          <w:rFonts w:ascii="Times New Roman" w:cs="Times New Roman" w:eastAsia="Times New Roman" w:hAnsi="Times New Roman"/>
          <w:i/>
          <w:iCs/>
          <w:sz w:val="22"/>
          <w:szCs w:val="22"/>
        </w:rPr>
        <w:t xml:space="preserve">Técnicas de cocina fría: Garde Manger y presentación culinaria</w:t>
      </w:r>
      <w:r>
        <w:rPr>
          <w:rFonts w:ascii="Times New Roman" w:cs="Times New Roman" w:eastAsia="Times New Roman" w:hAnsi="Times New Roman"/>
          <w:sz w:val="22"/>
          <w:szCs w:val="22"/>
        </w:rPr>
        <w:t xml:space="preserve">. Editorial Académica Española.</w:t>
      </w:r>
    </w:p>
    <w:p/>
    <w:p>
      <w:pPr>
        <w:spacing w:before="80" w:after="80"/>
        <w:jc w:val="left"/>
      </w:pPr>
      <w:r>
        <w:rPr>
          <w:rFonts w:ascii="Times New Roman" w:cs="Times New Roman" w:eastAsia="Times New Roman" w:hAnsi="Times New Roman"/>
          <w:sz w:val="22"/>
          <w:szCs w:val="22"/>
        </w:rPr>
        <w:t xml:space="preserve">Rodríguez, C. (2016). El garnish como expresión artística culinaria: origen, evolución y aplicaciones contemporáneas. </w:t>
      </w:r>
      <w:r>
        <w:rPr>
          <w:rFonts w:ascii="Times New Roman" w:cs="Times New Roman" w:eastAsia="Times New Roman" w:hAnsi="Times New Roman"/>
          <w:i/>
          <w:iCs/>
          <w:sz w:val="22"/>
          <w:szCs w:val="22"/>
        </w:rPr>
        <w:t xml:space="preserve">Gastronomía &amp; Sociedad</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8</w:t>
      </w:r>
      <w:r>
        <w:rPr>
          <w:rFonts w:ascii="Times New Roman" w:cs="Times New Roman" w:eastAsia="Times New Roman" w:hAnsi="Times New Roman"/>
          <w:sz w:val="22"/>
          <w:szCs w:val="22"/>
        </w:rPr>
        <w:t xml:space="preserve">(1), 12–27.</w:t>
      </w:r>
    </w:p>
    <w:p/>
    <w:p>
      <w:pPr>
        <w:spacing w:before="80" w:after="80"/>
        <w:jc w:val="left"/>
      </w:pPr>
      <w:r>
        <w:rPr>
          <w:rFonts w:ascii="Times New Roman" w:cs="Times New Roman" w:eastAsia="Times New Roman" w:hAnsi="Times New Roman"/>
          <w:sz w:val="22"/>
          <w:szCs w:val="22"/>
        </w:rPr>
        <w:t xml:space="preserve">Tschumi, G., &amp; Goldstein, J. (2003). </w:t>
      </w:r>
      <w:r>
        <w:rPr>
          <w:rFonts w:ascii="Times New Roman" w:cs="Times New Roman" w:eastAsia="Times New Roman" w:hAnsi="Times New Roman"/>
          <w:i/>
          <w:iCs/>
          <w:sz w:val="22"/>
          <w:szCs w:val="22"/>
        </w:rPr>
        <w:t xml:space="preserve">Royal chef: Recollections of life in royal households from Queen Victoria to Queen Mary</w:t>
      </w:r>
      <w:r>
        <w:rPr>
          <w:rFonts w:ascii="Times New Roman" w:cs="Times New Roman" w:eastAsia="Times New Roman" w:hAnsi="Times New Roman"/>
          <w:sz w:val="22"/>
          <w:szCs w:val="22"/>
        </w:rPr>
        <w:t xml:space="preserve">. William Kimber.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720" w:hanging="360"/>
      </w:pPr>
    </w:lvl>
  </w:abstractNum>
  <w:abstractNum w:abstractNumId="3" w15:restartNumberingAfterBreak="0">
    <w:multiLevelType w:val="hybridMultilevel"/>
    <w:lvl w:ilvl="0" w15:tentative="1">
      <w:start w:val="1"/>
      <w:numFmt w:val="bullet"/>
      <w:lvlText w:val="○"/>
      <w:lvlJc w:val="left"/>
      <w:pPr>
        <w:spacing w:before="40" w:after="4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2026-03-17T02:07:23.293Z</dcterms:created>
  <dcterms:modified xsi:type="dcterms:W3CDTF">2026-03-17T02:07:23.294Z</dcterms:modified>
</cp:coreProperties>
</file>

<file path=docProps/custom.xml><?xml version="1.0" encoding="utf-8"?>
<Properties xmlns="http://schemas.openxmlformats.org/officeDocument/2006/custom-properties" xmlns:vt="http://schemas.openxmlformats.org/officeDocument/2006/docPropsVTypes"/>
</file>