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7C2D12"/>
          <w:sz w:val="18"/>
        </w:rPr>
        <w:t>📌 Propuesta interna — para revisar con Guille antes de imprimir/comprometer presupuesto. Ningún monto en $ está definido todavía.</w:t>
      </w:r>
    </w:p>
    <w:p>
      <w:pPr>
        <w:jc w:val="center"/>
      </w:pPr>
      <w:r>
        <w:rPr>
          <w:b/>
          <w:color w:val="E8622A"/>
          <w:sz w:val="48"/>
        </w:rPr>
        <w:t>🎽 SPONSOREO VIP</w:t>
      </w:r>
    </w:p>
    <w:p>
      <w:pPr>
        <w:jc w:val="center"/>
      </w:pPr>
      <w:r>
        <w:rPr>
          <w:b/>
          <w:color w:val="0F172A"/>
          <w:sz w:val="26"/>
        </w:rPr>
        <w:t>Marketing callejero + programa de embajadores para TMC</w:t>
      </w:r>
    </w:p>
    <w:p>
      <w:pPr>
        <w:jc w:val="center"/>
      </w:pPr>
      <w:r>
        <w:rPr>
          <w:i/>
          <w:color w:val="475569"/>
          <w:sz w:val="19"/>
        </w:rPr>
        <w:t>Propuesta interna · 14 de agosto 2026 · Alejandro Laporte</w:t>
      </w:r>
    </w:p>
    <w:p/>
    <w:p>
      <w:r>
        <w:rPr>
          <w:b w:val="0"/>
          <w:i w:val="0"/>
          <w:sz w:val="22"/>
        </w:rPr>
        <w:t>La idea: convertir a gente que ya está parada todo el día en lugares de mucho tránsito — trapitos que cuidan autos, personal de gimnasios — en cartel ambulante de TMC, con remeras impresas en doble faz. Y sumar un segundo nivel, para los que además activamente recomiendan TMC a sus clientes: un programa de sponsors con referido trackeado y recompensa real, sin tocar el cap table de la empresa.</w:t>
      </w:r>
    </w:p>
    <w:p>
      <w:r>
        <w:rPr>
          <w:b/>
          <w:color w:val="E8622A"/>
          <w:sz w:val="30"/>
        </w:rPr>
        <w:t>Por qué estos lugares</w:t>
      </w:r>
    </w:p>
    <w:p>
      <w:pPr>
        <w:pStyle w:val="ListBullet"/>
      </w:pPr>
      <w:r>
        <w:rPr>
          <w:sz w:val="21"/>
        </w:rPr>
        <w:t>Trapitos — parados horas en zonas de alto tránsito vehicular, visibles para cientos de autos por día.</w:t>
      </w:r>
    </w:p>
    <w:p>
      <w:pPr>
        <w:pStyle w:val="ListBullet"/>
      </w:pPr>
      <w:r>
        <w:rPr>
          <w:sz w:val="21"/>
        </w:rPr>
        <w:t>Gimnasios — alta rotación diaria, público con necesidad real de guardar (bicis, equipo, mudanzas).</w:t>
      </w:r>
    </w:p>
    <w:p>
      <w:pPr>
        <w:pStyle w:val="ListBullet"/>
      </w:pPr>
      <w:r>
        <w:rPr>
          <w:sz w:val="21"/>
        </w:rPr>
        <w:t>Ambos interactúan cara a cara con decenas de personas por día — publicidad con conversación, no solo cartel.</w:t>
      </w:r>
    </w:p>
    <w:p>
      <w:pPr>
        <w:pStyle w:val="ListBullet"/>
      </w:pPr>
      <w:r>
        <w:rPr>
          <w:sz w:val="21"/>
        </w:rPr>
        <w:t>Guille: otros lugares de alta visibilidad a sumar — pendiente de definir la lista completa.</w:t>
      </w:r>
    </w:p>
    <w:p>
      <w:r>
        <w:rPr>
          <w:b/>
          <w:color w:val="E8622A"/>
          <w:sz w:val="30"/>
        </w:rPr>
        <w:t>Los 2 niveles del programa</w:t>
      </w:r>
    </w:p>
    <w:p>
      <w:r>
        <w:rPr>
          <w:b/>
          <w:i w:val="0"/>
          <w:color w:val="0F172A"/>
          <w:sz w:val="21"/>
        </w:rPr>
        <w:t>Nivel 1 — Pasivo (trapitos y personal de gimnasio)</w:t>
      </w:r>
    </w:p>
    <w:p>
      <w:r>
        <w:rPr>
          <w:b w:val="0"/>
          <w:i w:val="0"/>
          <w:sz w:val="21"/>
        </w:rPr>
        <w:t>Remera impresa doble faz — logo TMC adelante, QR + link corto atrás. Sin login, sin tracking individual: es cartel ambulante puro. Pendiente de definir: incentivo para que la usen seguido (los trapitos viven de propina — una remera sola puede no alcanzar).</w:t>
      </w:r>
    </w:p>
    <w:p/>
    <w:p>
      <w:r>
        <w:rPr>
          <w:b/>
          <w:i w:val="0"/>
          <w:color w:val="0F172A"/>
          <w:sz w:val="21"/>
        </w:rPr>
        <w:t>Nivel 2 — Sponsor VIP (instructores y gente que refiere activamente)</w:t>
      </w:r>
    </w:p>
    <w:p>
      <w:r>
        <w:rPr>
          <w:b w:val="0"/>
          <w:i w:val="0"/>
          <w:sz w:val="21"/>
        </w:rPr>
        <w:t>Además de la remera/casaca, tienen un código de referido propio y login en la plataforma. Cuando un cliente que refirieron se convierte (paga su primera reserva o publica un espacio), acumulan crédito TMC — trackeado, visible, auditable.</w:t>
      </w:r>
    </w:p>
    <w:p>
      <w:r>
        <w:rPr>
          <w:b/>
          <w:color w:val="E8622A"/>
          <w:sz w:val="30"/>
        </w:rPr>
        <w:t>Por qué NO es participación societaria (equity)</w:t>
      </w:r>
    </w:p>
    <w:p>
      <w:pPr>
        <w:ind w:left="227"/>
      </w:pPr>
      <w:r>
        <w:rPr>
          <w:b/>
          <w:color w:val="DC2626"/>
          <w:sz w:val="21"/>
        </w:rPr>
        <w:t xml:space="preserve">El riesgo: </w:t>
      </w:r>
      <w:r>
        <w:rPr>
          <w:color w:val="475569"/>
          <w:sz w:val="21"/>
        </w:rPr>
        <w:t>dar una fracción de capital por cada cliente cerrado suena inofensivo en el momento, pero si el programa funciona y hay cientos de sponsors activos, TMC termina con un cap table de cientos de personas con fracciones mínimas de acciones — un problema legal y administrativo serio, y una traba real para cualquier inversor que quiera entrar después con una estructura societaria limpia. Ya existe una estructura pensada en TMC-SAS-modelos-legales.html; el programa de sponsoreo no debería contradecirla.</w:t>
      </w:r>
    </w:p>
    <w:p/>
    <w:p>
      <w:pPr>
        <w:ind w:left="227"/>
      </w:pPr>
      <w:r>
        <w:rPr>
          <w:b/>
          <w:color w:val="16A34A"/>
          <w:sz w:val="21"/>
        </w:rPr>
        <w:t xml:space="preserve">La alternativa: </w:t>
      </w:r>
      <w:r>
        <w:rPr>
          <w:color w:val="475569"/>
          <w:sz w:val="21"/>
        </w:rPr>
        <w:t>el sponsor igual siente que "tiene algo en juego" con un sistema de crédito acumulable trackeado — logra el mismo efecto psicológico de incentivo sin diluir la empresa ni generar un cap table imposible de administrar.</w:t>
      </w:r>
    </w:p>
    <w:p>
      <w:r>
        <w:rPr>
          <w:b/>
          <w:color w:val="E8622A"/>
          <w:sz w:val="30"/>
        </w:rPr>
        <w:t>El modelo de recompensa</w:t>
      </w:r>
    </w:p>
    <w:p>
      <w:pPr>
        <w:pStyle w:val="ListBullet"/>
      </w:pPr>
      <w:r>
        <w:rPr>
          <w:sz w:val="21"/>
        </w:rPr>
        <w:t>Monto fijo por conversión — por cada cliente referido que efectivamente paga su primera reserva o publica un espacio, el sponsor acumula un monto fijo. Monto exacto: a definir.</w:t>
      </w:r>
    </w:p>
    <w:p>
      <w:pPr>
        <w:pStyle w:val="ListBullet"/>
      </w:pPr>
      <w:r>
        <w:rPr>
          <w:sz w:val="21"/>
        </w:rPr>
        <w:t>Crédito TMC, no efectivo (por ahora) — se usa dentro de la plataforma: descuenta de su propia comisión si publica/reserva, o queda acumulado. Sin integrar pagos/retiros todavía.</w:t>
      </w:r>
    </w:p>
    <w:p>
      <w:pPr>
        <w:pStyle w:val="ListBullet"/>
      </w:pPr>
      <w:r>
        <w:rPr>
          <w:sz w:val="21"/>
        </w:rPr>
        <w:t>Fase 2: cash real — cuando el volumen lo justifique ("cuando esto explote"), se agrega conversión de crédito a transferencia real vía MercadoPago.</w:t>
      </w:r>
    </w:p>
    <w:p>
      <w:r>
        <w:rPr>
          <w:b/>
          <w:color w:val="E8622A"/>
          <w:sz w:val="30"/>
        </w:rPr>
        <w:t>Cómo el sponsor sabe que no lo vamos a cagar</w:t>
      </w:r>
    </w:p>
    <w:p>
      <w:r>
        <w:rPr>
          <w:b w:val="0"/>
          <w:i/>
          <w:color w:val="475569"/>
          <w:sz w:val="19"/>
        </w:rPr>
        <w:t>La pregunta que hizo Alejandro directamente — acá la respuesta con los 3 mecanismos de confianza: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F172A"/>
          </w:tcPr>
          <w:p>
            <w:r>
              <w:rPr>
                <w:b/>
                <w:color w:val="FFFFFF"/>
                <w:sz w:val="19"/>
              </w:rPr>
              <w:t>Mecanismo</w:t>
            </w:r>
          </w:p>
        </w:tc>
        <w:tc>
          <w:tcPr>
            <w:tcW w:type="dxa" w:w="4873"/>
            <w:shd w:val="clear" w:color="auto" w:fill="0F172A"/>
          </w:tcPr>
          <w:p>
            <w:r>
              <w:rPr>
                <w:b/>
                <w:color w:val="FFFFFF"/>
                <w:sz w:val="19"/>
              </w:rPr>
              <w:t>Qué resuelve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Login propio + panel (/es/sponsor/panel)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Ve su crédito acumulado y su historial en cualquier momento, sin depender de que Alejandro le confirme nada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Email automático por conversión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Apenas se acredita un crédito, le llega un comprobante a su correo — fecha, monto, referencia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Ledger inmutable (mismo patrón que movimientos_ledger de reservas)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Cada acreditación es un registro con fecha e ID propio, no un número editable a mano — trazabilidad real</w:t>
            </w:r>
          </w:p>
        </w:tc>
      </w:tr>
    </w:tbl>
    <w:p/>
    <w:p>
      <w:r>
        <w:rPr>
          <w:b w:val="0"/>
          <w:i/>
          <w:color w:val="475569"/>
          <w:sz w:val="18"/>
        </w:rPr>
        <w:t>El código de referido funciona como identidad del sponsor; no hace falta un token separado.</w:t>
      </w:r>
    </w:p>
    <w:p>
      <w:r>
        <w:rPr>
          <w:b/>
          <w:color w:val="E8622A"/>
          <w:sz w:val="30"/>
        </w:rPr>
        <w:t>Hoja de ruta</w:t>
      </w:r>
    </w:p>
    <w:p>
      <w:pPr>
        <w:pStyle w:val="ListBullet"/>
      </w:pPr>
      <w:r>
        <w:rPr>
          <w:sz w:val="21"/>
        </w:rPr>
        <w:t>Fase 1 — Ahora: piloto físico. Remeras + distribución. Sin tocar código todavía.</w:t>
      </w:r>
    </w:p>
    <w:p>
      <w:pPr>
        <w:pStyle w:val="ListBullet"/>
      </w:pPr>
      <w:r>
        <w:rPr>
          <w:sz w:val="21"/>
        </w:rPr>
        <w:t>Fase 2: sistema de sponsors. /es/sponsor público, alta desde admin, código de referido, panel, email automático, ledger de créditos.</w:t>
      </w:r>
    </w:p>
    <w:p>
      <w:pPr>
        <w:pStyle w:val="ListBullet"/>
      </w:pPr>
      <w:r>
        <w:rPr>
          <w:sz w:val="21"/>
        </w:rPr>
        <w:t>Fase 3: cash real. Conversión de crédito a transferencia vía MercadoPago, cuando el volumen lo justifique.</w:t>
      </w:r>
    </w:p>
    <w:p>
      <w:r>
        <w:rPr>
          <w:b/>
          <w:color w:val="E8622A"/>
          <w:sz w:val="30"/>
        </w:rPr>
        <w:t>Decisiones pendientes para definir con Guille</w:t>
      </w:r>
    </w:p>
    <w:p>
      <w:pPr>
        <w:pStyle w:val="ListBullet"/>
      </w:pPr>
      <w:r>
        <w:rPr>
          <w:sz w:val="21"/>
        </w:rPr>
        <w:t>Monto fijo de crédito por conversión</w:t>
      </w:r>
    </w:p>
    <w:p>
      <w:pPr>
        <w:pStyle w:val="ListBullet"/>
      </w:pPr>
      <w:r>
        <w:rPr>
          <w:sz w:val="21"/>
        </w:rPr>
        <w:t>Presupuesto y cantidad de remeras a imprimir (diseño doble faz, color naranja de marca)</w:t>
      </w:r>
    </w:p>
    <w:p>
      <w:pPr>
        <w:pStyle w:val="ListBullet"/>
      </w:pPr>
      <w:r>
        <w:rPr>
          <w:sz w:val="21"/>
        </w:rPr>
        <w:t>Qué gimnasios abordar primero, y cómo (¿charla directa con el dueño, algo a cambio para el gimnasio?)</w:t>
      </w:r>
    </w:p>
    <w:p>
      <w:pPr>
        <w:pStyle w:val="ListBullet"/>
      </w:pPr>
      <w:r>
        <w:rPr>
          <w:sz w:val="21"/>
        </w:rPr>
        <w:t>Cómo incentivar a los trapitos más allá de la remera — ¿pago inicial, algo semanal?</w:t>
      </w:r>
    </w:p>
    <w:p>
      <w:pPr>
        <w:pStyle w:val="ListBullet"/>
      </w:pPr>
      <w:r>
        <w:rPr>
          <w:sz w:val="21"/>
        </w:rPr>
        <w:t>Lista completa de "otros lugares de mucha visibilidad" que propuso Guille</w:t>
      </w:r>
    </w:p>
    <w:p>
      <w:pPr>
        <w:pStyle w:val="ListBullet"/>
      </w:pPr>
      <w:r>
        <w:rPr>
          <w:sz w:val="21"/>
        </w:rPr>
        <w:t>Cuándo pasar de piloto físico (Fase 1) a construir el sistema de sponsors (Fase 2)</w:t>
      </w:r>
    </w:p>
    <w:p/>
    <w:p>
      <w:pPr>
        <w:jc w:val="center"/>
      </w:pPr>
      <w:r>
        <w:rPr>
          <w:i/>
          <w:color w:val="475569"/>
          <w:sz w:val="16"/>
        </w:rPr>
        <w:t>TodasMisCosas.com · Propuesta Sponsoreo VIP · Generado a pedido de Alejandro desde Claude Code · 14 ago 2026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