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EVALUATION FORM - CASE REPORT- PEER-REVIEW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6.0" w:type="dxa"/>
        <w:jc w:val="left"/>
        <w:tblInd w:w="0.0" w:type="dxa"/>
        <w:tblLayout w:type="fixed"/>
        <w:tblLook w:val="0000"/>
      </w:tblPr>
      <w:tblGrid>
        <w:gridCol w:w="6799"/>
        <w:gridCol w:w="2257"/>
        <w:tblGridChange w:id="0">
          <w:tblGrid>
            <w:gridCol w:w="6799"/>
            <w:gridCol w:w="225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Hypothesis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 10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Clarity of the 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 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Short introduction, but with sufficient information to emphasize the relevance or novelty of the presented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 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1">
            <w:pPr>
              <w:jc w:val="both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single"/>
                <w:rtl w:val="0"/>
              </w:rPr>
              <w:t xml:space="preserve">Case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anamnesis details, clinical examination and significant paraclinical data.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/20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single"/>
                <w:rtl w:val="0"/>
              </w:rPr>
              <w:t xml:space="preserve">Management and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Description of diagnosis 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/10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Treatment description and presentation of therapeutic intervention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/10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Case evolution under treatment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     /5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Prognosis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                  /5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u w:val="single"/>
                <w:rtl w:val="0"/>
              </w:rPr>
              <w:t xml:space="preserve">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Correlations between results and conclusions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/10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Pecularity of the case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/15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The fluency of the international language, correct formulation, easy to read abstract.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/5 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TOTAL: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/ 100 points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