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rial" w:cs="Arial" w:eastAsia="Arial" w:hAnsi="Arial"/>
          <w:highlight w:val="white"/>
        </w:rPr>
      </w:pPr>
      <w:r w:rsidDel="00000000" w:rsidR="00000000" w:rsidRPr="00000000">
        <w:rPr>
          <w:rFonts w:ascii="Arial" w:cs="Arial" w:eastAsia="Arial" w:hAnsi="Arial"/>
          <w:highlight w:val="white"/>
          <w:rtl w:val="0"/>
        </w:rPr>
        <w:t xml:space="preserve">Clinical Case - Infectious Diseases</w:t>
      </w:r>
    </w:p>
    <w:p w:rsidR="00000000" w:rsidDel="00000000" w:rsidP="00000000" w:rsidRDefault="00000000" w:rsidRPr="00000000" w14:paraId="00000002">
      <w:pPr>
        <w:spacing w:after="160" w:line="259" w:lineRule="auto"/>
        <w:rPr>
          <w:rFonts w:ascii="Arial" w:cs="Arial" w:eastAsia="Arial" w:hAnsi="Arial"/>
          <w:highlight w:val="white"/>
        </w:rPr>
      </w:pPr>
      <w:r w:rsidDel="00000000" w:rsidR="00000000" w:rsidRPr="00000000">
        <w:rPr>
          <w:rFonts w:ascii="Arial" w:cs="Arial" w:eastAsia="Arial" w:hAnsi="Arial"/>
          <w:highlight w:val="white"/>
          <w:rtl w:val="0"/>
        </w:rPr>
        <w:t xml:space="preserve">Speaker: Lect. </w:t>
      </w:r>
      <w:r w:rsidDel="00000000" w:rsidR="00000000" w:rsidRPr="00000000">
        <w:rPr>
          <w:rFonts w:ascii="Roboto" w:cs="Roboto" w:eastAsia="Roboto" w:hAnsi="Roboto"/>
          <w:sz w:val="20"/>
          <w:szCs w:val="20"/>
          <w:highlight w:val="white"/>
          <w:rtl w:val="0"/>
        </w:rPr>
        <w:t xml:space="preserve">Liana Gavriliu, MD, PhD</w:t>
      </w:r>
      <w:r w:rsidDel="00000000" w:rsidR="00000000" w:rsidRPr="00000000">
        <w:rPr>
          <w:rtl w:val="0"/>
        </w:rPr>
      </w:r>
    </w:p>
    <w:p w:rsidR="00000000" w:rsidDel="00000000" w:rsidP="00000000" w:rsidRDefault="00000000" w:rsidRPr="00000000" w14:paraId="00000003">
      <w:pPr>
        <w:spacing w:after="160" w:line="259"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04">
      <w:pPr>
        <w:spacing w:after="1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Problem-solving based learning is a useful and powerful tool, helping students develop analytical skills and to move from recalling the knowledge to analysis, evaluation and application. With this idea in mind, we propose an Infectious Diseases clinical-cases based workshop. The students participating in this workshop will be divided into four work groups. They will be presented with the same three virtual cases, one of them being used as an example. Each team will have to identify the diagnosis and perform the procedures required for the correct management of the patient’s conditions.</w:t>
      </w:r>
    </w:p>
    <w:p w:rsidR="00000000" w:rsidDel="00000000" w:rsidP="00000000" w:rsidRDefault="00000000" w:rsidRPr="00000000" w14:paraId="00000005">
      <w:pPr>
        <w:spacing w:after="1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the pleasure to announce that this year this workshop enjoys a new platform which is called Bodyinteract, a virtual medical simulation experience.</w:t>
      </w:r>
    </w:p>
    <w:p w:rsidR="00000000" w:rsidDel="00000000" w:rsidP="00000000" w:rsidRDefault="00000000" w:rsidRPr="00000000" w14:paraId="00000006">
      <w:pPr>
        <w:spacing w:after="120" w:before="12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160" w:line="259"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08">
      <w:pPr>
        <w:spacing w:after="0" w:line="240" w:lineRule="auto"/>
        <w:rPr>
          <w:sz w:val="24"/>
          <w:szCs w:val="24"/>
        </w:rPr>
      </w:pPr>
      <w:bookmarkStart w:colFirst="0" w:colLast="0" w:name="_khrmq9ec3unq"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