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F84006" w:rsidRDefault="00136236" w:rsidP="00F8400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Sentiment analysis and time series prediction on Twitter data</w:t>
      </w:r>
    </w:p>
    <w:p w14:paraId="00000009" w14:textId="77777777" w:rsidR="00763462" w:rsidRPr="00F84006" w:rsidRDefault="00763462">
      <w:pPr>
        <w:spacing w:line="480" w:lineRule="auto"/>
        <w:jc w:val="center"/>
        <w:rPr>
          <w:rFonts w:ascii="Arial" w:eastAsia="Arial" w:hAnsi="Arial" w:cs="Arial"/>
          <w:color w:val="000000"/>
          <w:sz w:val="36"/>
          <w:szCs w:val="36"/>
        </w:rPr>
      </w:pPr>
    </w:p>
    <w:p w14:paraId="0000000C" w14:textId="71CF3DD6" w:rsidR="00763462" w:rsidRPr="00F84006" w:rsidRDefault="00136236" w:rsidP="00F8400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Alex Santini</w:t>
      </w:r>
    </w:p>
    <w:p w14:paraId="0000000E" w14:textId="77777777" w:rsidR="00763462" w:rsidRPr="008F57CD" w:rsidRDefault="00763462" w:rsidP="00F84006">
      <w:pPr>
        <w:spacing w:line="480" w:lineRule="auto"/>
        <w:rPr>
          <w:rFonts w:ascii="Arial" w:eastAsia="Arial" w:hAnsi="Arial" w:cs="Arial"/>
          <w:color w:val="000000"/>
          <w:sz w:val="24"/>
          <w:szCs w:val="24"/>
          <w:lang w:val="en-IE"/>
        </w:rPr>
      </w:pPr>
    </w:p>
    <w:p w14:paraId="0000000F" w14:textId="73EB8B97" w:rsidR="00763462" w:rsidRPr="00F84006" w:rsidRDefault="0013623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MSc in Data Analytics</w:t>
      </w:r>
    </w:p>
    <w:p w14:paraId="00000010" w14:textId="03DD12C0"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Integrated assignment big data processing and Advanced data analytics</w:t>
      </w:r>
    </w:p>
    <w:p w14:paraId="00000011" w14:textId="5619256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CCT</w:t>
      </w:r>
    </w:p>
    <w:p w14:paraId="00000012" w14:textId="4CFF341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7777777" w:rsidR="00136236" w:rsidRDefault="00136236" w:rsidP="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Sentiment analysis and time series prediction on Twitter data</w:t>
      </w:r>
    </w:p>
    <w:p w14:paraId="00000018" w14:textId="4EB99068"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Introduction</w:t>
      </w:r>
    </w:p>
    <w:p w14:paraId="02B7C1ED" w14:textId="77777777" w:rsidR="00136236" w:rsidRDefault="00136236">
      <w:pPr>
        <w:spacing w:line="480" w:lineRule="auto"/>
        <w:jc w:val="center"/>
        <w:rPr>
          <w:rFonts w:ascii="Arial" w:eastAsia="Arial" w:hAnsi="Arial" w:cs="Arial"/>
          <w:color w:val="000000"/>
          <w:sz w:val="24"/>
          <w:szCs w:val="24"/>
        </w:rPr>
      </w:pPr>
    </w:p>
    <w:p w14:paraId="78038ED8" w14:textId="25480F6F"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SQL and NoSQL databases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The databases in questions will have to contain the same tabular format to equally compare them, the format chosen is the same present in the excel sheet provided for 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lastRenderedPageBreak/>
        <w:t>The testing strategy aim to compare a classic insert heavy load and a more generalist</w:t>
      </w:r>
      <w:r>
        <w:rPr>
          <w:rFonts w:ascii="Arial" w:eastAsia="Arial" w:hAnsi="Arial" w:cs="Arial"/>
          <w:i/>
          <w:color w:val="000000"/>
          <w:sz w:val="24"/>
          <w:szCs w:val="24"/>
        </w:rPr>
        <w:t xml:space="preserve">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24DF4D5"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lastRenderedPageBreak/>
        <w:drawing>
          <wp:inline distT="0" distB="0" distL="0" distR="0" wp14:anchorId="11222830" wp14:editId="5222F593">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for the read heavy workload are clear as MongoDB shows better performances running the load 20 times faster than the SQL counterpart, this is highly expected as being a document-based database MongoDB can handle large volume of 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w:t>
      </w:r>
      <w:r>
        <w:rPr>
          <w:rFonts w:ascii="Arial" w:eastAsia="Arial" w:hAnsi="Arial" w:cs="Arial"/>
          <w:iCs/>
          <w:color w:val="000000"/>
          <w:sz w:val="24"/>
          <w:szCs w:val="24"/>
        </w:rPr>
        <w:lastRenderedPageBreak/>
        <w:t xml:space="preserve">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577C2EF9">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4822E2A0"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w:t>
      </w:r>
      <w:r>
        <w:rPr>
          <w:rFonts w:ascii="Arial" w:eastAsia="Arial" w:hAnsi="Arial" w:cs="Arial"/>
          <w:iCs/>
          <w:color w:val="000000"/>
          <w:sz w:val="24"/>
          <w:szCs w:val="24"/>
        </w:rPr>
        <w:lastRenderedPageBreak/>
        <w:t xml:space="preserve">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proofErr w:type="gramStart"/>
      <w:r w:rsidR="005F7583">
        <w:rPr>
          <w:rFonts w:ascii="Arial" w:eastAsia="Arial" w:hAnsi="Arial" w:cs="Arial"/>
          <w:iCs/>
          <w:color w:val="000000"/>
          <w:sz w:val="24"/>
          <w:szCs w:val="24"/>
        </w:rPr>
        <w:t>he</w:t>
      </w:r>
      <w:proofErr w:type="gramEnd"/>
      <w:r w:rsidR="005F7583">
        <w:rPr>
          <w:rFonts w:ascii="Arial" w:eastAsia="Arial" w:hAnsi="Arial" w:cs="Arial"/>
          <w:iCs/>
          <w:color w:val="000000"/>
          <w:sz w:val="24"/>
          <w:szCs w:val="24"/>
        </w:rPr>
        <w:t xml:space="preserv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4C18EB4"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shown in figure raw data can be loaded into MySQL either directly through CLI commands or by using PySpark; second step of the architecture is to apply reduce processing and data processing for extracting the sentiment of each tweet and storing a </w:t>
      </w:r>
      <w:r>
        <w:rPr>
          <w:rFonts w:ascii="Arial" w:eastAsia="Arial" w:hAnsi="Arial" w:cs="Arial"/>
          <w:iCs/>
          <w:color w:val="000000"/>
          <w:sz w:val="24"/>
          <w:szCs w:val="24"/>
        </w:rPr>
        <w:lastRenderedPageBreak/>
        <w:t>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Fig.6 Processing architectures</w:t>
      </w: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1719EEF9"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csc file bypassing both MySQL and Cassandra.</w:t>
      </w:r>
    </w:p>
    <w:p w14:paraId="519C2069" w14:textId="25D057AD"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CSV files (raw and final) can be extracted from the MySQL and Cassandra into csv files.</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Default="00B77215">
      <w:pPr>
        <w:spacing w:line="480" w:lineRule="auto"/>
        <w:rPr>
          <w:rFonts w:ascii="Arial" w:eastAsia="Arial" w:hAnsi="Arial" w:cs="Arial"/>
          <w:i/>
          <w:color w:val="000000"/>
          <w:sz w:val="24"/>
          <w:szCs w:val="24"/>
        </w:rPr>
      </w:pPr>
      <w:r>
        <w:rPr>
          <w:rFonts w:ascii="Arial" w:eastAsia="Arial" w:hAnsi="Arial" w:cs="Arial"/>
          <w:i/>
          <w:color w:val="000000"/>
          <w:sz w:val="24"/>
          <w:szCs w:val="24"/>
        </w:rPr>
        <w:t xml:space="preserve">EDA and </w:t>
      </w:r>
      <w:r w:rsidR="00136236">
        <w:rPr>
          <w:rFonts w:ascii="Arial" w:eastAsia="Arial" w:hAnsi="Arial" w:cs="Arial"/>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w:t>
      </w:r>
      <w:r>
        <w:rPr>
          <w:rFonts w:ascii="Arial" w:eastAsia="Arial" w:hAnsi="Arial" w:cs="Arial"/>
          <w:iCs/>
          <w:color w:val="000000"/>
          <w:sz w:val="24"/>
          <w:szCs w:val="24"/>
        </w:rPr>
        <w:lastRenderedPageBreak/>
        <w:t>mention seems to appear which seems to link the tweets to a specific topic; having this 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6845AD3B"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in fig.7 shown as Vader is more efficient than </w:t>
      </w:r>
      <w:proofErr w:type="spellStart"/>
      <w:r>
        <w:rPr>
          <w:rFonts w:ascii="Arial" w:eastAsia="Arial" w:hAnsi="Arial" w:cs="Arial"/>
          <w:iCs/>
          <w:color w:val="000000"/>
          <w:sz w:val="24"/>
          <w:szCs w:val="24"/>
        </w:rPr>
        <w:t>TextBlob</w:t>
      </w:r>
      <w:proofErr w:type="spellEnd"/>
      <w:r>
        <w:rPr>
          <w:rFonts w:ascii="Arial" w:eastAsia="Arial" w:hAnsi="Arial" w:cs="Arial"/>
          <w:iCs/>
          <w:color w:val="000000"/>
          <w:sz w:val="24"/>
          <w:szCs w:val="24"/>
        </w:rPr>
        <w:t xml:space="preserve">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The main problem encountered during time series analysis has been the huge amount 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During EDA data has been grouped by seconds, minutes, </w:t>
      </w:r>
      <w:proofErr w:type="gramStart"/>
      <w:r>
        <w:rPr>
          <w:rFonts w:ascii="Arial" w:eastAsia="Arial" w:hAnsi="Arial" w:cs="Arial"/>
          <w:iCs/>
          <w:color w:val="000000"/>
          <w:sz w:val="24"/>
          <w:szCs w:val="24"/>
        </w:rPr>
        <w:t>hours</w:t>
      </w:r>
      <w:proofErr w:type="gramEnd"/>
      <w:r>
        <w:rPr>
          <w:rFonts w:ascii="Arial" w:eastAsia="Arial" w:hAnsi="Arial" w:cs="Arial"/>
          <w:iCs/>
          <w:color w:val="000000"/>
          <w:sz w:val="24"/>
          <w:szCs w:val="24"/>
        </w:rPr>
        <w:t xml:space="preserve"> and days in order to 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proofErr w:type="spellStart"/>
      <w:r w:rsidRPr="00BF70CA">
        <w:rPr>
          <w:rFonts w:ascii="Arial" w:eastAsia="Arial" w:hAnsi="Arial" w:cs="Arial"/>
          <w:iCs/>
          <w:color w:val="000000"/>
          <w:sz w:val="24"/>
          <w:szCs w:val="24"/>
        </w:rPr>
        <w:t>Petrusevich</w:t>
      </w:r>
      <w:proofErr w:type="spellEnd"/>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lastRenderedPageBreak/>
        <w:t>Time series prediction</w:t>
      </w:r>
    </w:p>
    <w:p w14:paraId="189680B5" w14:textId="4AA2FDB8"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predict the sentiment averages three months from the last day recorded.</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77777777" w:rsidR="00BF70CA" w:rsidRDefault="005F1010"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References</w:t>
      </w:r>
    </w:p>
    <w:p w14:paraId="0D3CF759" w14:textId="77777777" w:rsidR="00FC134D" w:rsidRDefault="00FC134D" w:rsidP="00FC134D">
      <w:pPr>
        <w:spacing w:line="480" w:lineRule="auto"/>
        <w:rPr>
          <w:rFonts w:ascii="Arial" w:eastAsia="Arial" w:hAnsi="Arial" w:cs="Arial"/>
          <w:iCs/>
          <w:color w:val="000000"/>
          <w:sz w:val="24"/>
          <w:szCs w:val="24"/>
        </w:rPr>
      </w:pPr>
      <w:proofErr w:type="spellStart"/>
      <w:r w:rsidRPr="00FC134D">
        <w:rPr>
          <w:rFonts w:ascii="Arial" w:eastAsia="Arial" w:hAnsi="Arial" w:cs="Arial"/>
          <w:iCs/>
          <w:color w:val="000000"/>
          <w:sz w:val="24"/>
          <w:szCs w:val="24"/>
        </w:rPr>
        <w:t>Petrusevich</w:t>
      </w:r>
      <w:proofErr w:type="spellEnd"/>
      <w:r w:rsidRPr="00FC134D">
        <w:rPr>
          <w:rFonts w:ascii="Arial" w:eastAsia="Arial" w:hAnsi="Arial" w:cs="Arial"/>
          <w:iCs/>
          <w:color w:val="000000"/>
          <w:sz w:val="24"/>
          <w:szCs w:val="24"/>
        </w:rPr>
        <w:t>, D. A. (2021) 'Title of the Article', Journal of Physics: Conference Series, 1889(3), pp. 032009.C.</w:t>
      </w:r>
    </w:p>
    <w:p w14:paraId="00000021" w14:textId="2C2EF901" w:rsidR="00763462" w:rsidRPr="00BF70CA" w:rsidRDefault="00FC134D" w:rsidP="005F1010">
      <w:pPr>
        <w:spacing w:line="480" w:lineRule="auto"/>
        <w:rPr>
          <w:rFonts w:ascii="Arial" w:eastAsia="Arial" w:hAnsi="Arial" w:cs="Arial"/>
          <w:iCs/>
          <w:color w:val="000000"/>
          <w:sz w:val="24"/>
          <w:szCs w:val="24"/>
        </w:rPr>
      </w:pPr>
      <w:r w:rsidRPr="00FC134D">
        <w:rPr>
          <w:rFonts w:ascii="Arial" w:eastAsia="Arial" w:hAnsi="Arial" w:cs="Arial"/>
          <w:iCs/>
          <w:color w:val="000000"/>
          <w:sz w:val="24"/>
          <w:szCs w:val="24"/>
        </w:rPr>
        <w:t>Caruso, F. &amp; Quarta, Interpolation methods comparison, 1998, 'Computers &amp; Mathematics with Applications', 35(12), pp. 109-126.</w:t>
      </w:r>
    </w:p>
    <w:p w14:paraId="00000022" w14:textId="77777777" w:rsidR="00763462" w:rsidRDefault="00763462">
      <w:pPr>
        <w:spacing w:line="480" w:lineRule="auto"/>
        <w:ind w:firstLine="708"/>
        <w:rPr>
          <w:rFonts w:ascii="Arial" w:eastAsia="Arial" w:hAnsi="Arial" w:cs="Arial"/>
          <w:color w:val="000000"/>
          <w:sz w:val="24"/>
          <w:szCs w:val="24"/>
        </w:rPr>
      </w:pP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3286" w14:textId="77777777" w:rsidR="000731D3" w:rsidRDefault="000731D3">
      <w:r>
        <w:separator/>
      </w:r>
    </w:p>
  </w:endnote>
  <w:endnote w:type="continuationSeparator" w:id="0">
    <w:p w14:paraId="0142ACC2" w14:textId="77777777" w:rsidR="000731D3" w:rsidRDefault="0007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6C87" w14:textId="77777777" w:rsidR="000731D3" w:rsidRDefault="000731D3">
      <w:r>
        <w:separator/>
      </w:r>
    </w:p>
  </w:footnote>
  <w:footnote w:type="continuationSeparator" w:id="0">
    <w:p w14:paraId="333A859C" w14:textId="77777777" w:rsidR="000731D3" w:rsidRDefault="00073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731D3"/>
    <w:rsid w:val="000C6E39"/>
    <w:rsid w:val="00136236"/>
    <w:rsid w:val="00140984"/>
    <w:rsid w:val="002441FB"/>
    <w:rsid w:val="002E30DE"/>
    <w:rsid w:val="002F41AC"/>
    <w:rsid w:val="003A112C"/>
    <w:rsid w:val="004A40B4"/>
    <w:rsid w:val="00500613"/>
    <w:rsid w:val="0059658B"/>
    <w:rsid w:val="005F1010"/>
    <w:rsid w:val="005F7583"/>
    <w:rsid w:val="00613DFC"/>
    <w:rsid w:val="00632BD7"/>
    <w:rsid w:val="00682BEC"/>
    <w:rsid w:val="006A010B"/>
    <w:rsid w:val="00763462"/>
    <w:rsid w:val="007C0CEB"/>
    <w:rsid w:val="007D0D5D"/>
    <w:rsid w:val="00815FFE"/>
    <w:rsid w:val="00826A6F"/>
    <w:rsid w:val="00832B64"/>
    <w:rsid w:val="00860C9E"/>
    <w:rsid w:val="008B1DC5"/>
    <w:rsid w:val="008F4FF0"/>
    <w:rsid w:val="008F57CD"/>
    <w:rsid w:val="00906CCD"/>
    <w:rsid w:val="00932FD4"/>
    <w:rsid w:val="009E40CF"/>
    <w:rsid w:val="00A06C54"/>
    <w:rsid w:val="00B77215"/>
    <w:rsid w:val="00B94DC7"/>
    <w:rsid w:val="00BB06E6"/>
    <w:rsid w:val="00BD2A26"/>
    <w:rsid w:val="00BF70CA"/>
    <w:rsid w:val="00C037D1"/>
    <w:rsid w:val="00C23492"/>
    <w:rsid w:val="00CA4F7D"/>
    <w:rsid w:val="00D35B4B"/>
    <w:rsid w:val="00D42582"/>
    <w:rsid w:val="00D65A22"/>
    <w:rsid w:val="00D76C6B"/>
    <w:rsid w:val="00DA5A82"/>
    <w:rsid w:val="00DF1B57"/>
    <w:rsid w:val="00E12A0B"/>
    <w:rsid w:val="00E12DCC"/>
    <w:rsid w:val="00EA02D6"/>
    <w:rsid w:val="00EC6143"/>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16</Pages>
  <Words>1988</Words>
  <Characters>11338</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13300</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18</cp:revision>
  <dcterms:created xsi:type="dcterms:W3CDTF">2018-12-15T17:56:00Z</dcterms:created>
  <dcterms:modified xsi:type="dcterms:W3CDTF">2023-10-30T22:20:00Z</dcterms:modified>
  <cp:category>Referencing</cp:category>
</cp:coreProperties>
</file>