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E7B8C"/>
          <w:sz w:val="20"/>
          <w:szCs w:val="20"/>
        </w:rPr>
        <w:t xml:space="preserve">Campus Hannah Höch  ·  Fachbereich Informatik</w:t>
      </w:r>
    </w:p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Schulinternes Curriculum</w:t>
      </w:r>
    </w:p>
    <w:p>
      <w:pPr>
        <w:spacing w:after="60"/>
      </w:pPr>
      <w:r>
        <w:rPr>
          <w:b/>
          <w:bCs/>
          <w:color w:val="1A1A1A"/>
          <w:sz w:val="26"/>
          <w:szCs w:val="26"/>
        </w:rPr>
        <w:t xml:space="preserve">Wahlpflichtunterricht Informatik – Jahrgangsstufe 9/10</w:t>
      </w:r>
    </w:p>
    <w:p>
      <w:pPr>
        <w:pBdr>
          <w:bottom w:val="single" w:color="1F4E5F" w:sz="12"/>
        </w:pBdr>
        <w:spacing w:after="160"/>
      </w:pPr>
      <w:r>
        <w:rPr>
          <w:i/>
          <w:iCs/>
          <w:color w:val="555555"/>
          <w:sz w:val="18"/>
          <w:szCs w:val="18"/>
        </w:rPr>
        <w:t xml:space="preserve">Grundlage: Rahmenlehrplan 1–10 Berlin-Brandenburg, Teil C Informatik (Wahlpflichtfach, Jgst. 7–10)  ·  ca. 2 Wochenstunden  ·  Stand: Schuljahr ____ 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1  Einordnung</w:t>
      </w:r>
    </w:p>
    <w:p>
      <w:pPr>
        <w:spacing w:after="120" w:before="0" w:line="264"/>
      </w:pPr>
      <w:r>
        <w:rPr>
          <w:color w:val="1A1A1A"/>
          <w:sz w:val="22"/>
          <w:szCs w:val="22"/>
        </w:rPr>
        <w:t xml:space="preserve">Dieses Curriculum konkretisiert den Wahlpflichtunterricht Informatik auf Grundlage des Rahmenlehrplans Teil C Informatik. Der Unterricht ist projektorientiert angelegt: In den Projekten werden mehrere Themenfelder in einem Anwendungszusammenhang verbunden. Die Niveaustufen D/E werden in Berlin bereits im Informationstechnischen Grundkurs (ITG, Kl. 7/8) erworben; der WPU baut darauf auf.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2  Kompetenzmodell des Faches</w:t>
      </w:r>
    </w:p>
    <w:p>
      <w:pPr>
        <w:spacing w:after="120" w:before="0" w:line="264"/>
      </w:pPr>
      <w:r>
        <w:rPr>
          <w:color w:val="1A1A1A"/>
          <w:sz w:val="22"/>
          <w:szCs w:val="22"/>
        </w:rPr>
        <w:t xml:space="preserve">Der Kompetenzerwerb erfolgt in sechs miteinander verflochtenen Kompetenzbereichen:</w:t>
      </w:r>
    </w:p>
    <w:p>
      <w:pPr>
        <w:spacing w:after="90" w:line="260"/>
      </w:pPr>
      <w:r>
        <w:rPr>
          <w:b/>
          <w:bCs/>
          <w:color w:val="1A1A1A"/>
          <w:sz w:val="22"/>
          <w:szCs w:val="22"/>
        </w:rPr>
        <w:t xml:space="preserve">1  Wechselwirkungen zwischen Informatiksystemen, Mensch und Gesellschaft beurteilen – </w:t>
      </w:r>
      <w:r>
        <w:rPr>
          <w:color w:val="1A1A1A"/>
          <w:sz w:val="22"/>
          <w:szCs w:val="22"/>
        </w:rPr>
        <w:t xml:space="preserve">Anwendungen erfassen, Auswirkungen abschätzen (u. a. Urheberrecht, Datenschutz, aktuelle Entwicklungen).</w:t>
      </w:r>
    </w:p>
    <w:p>
      <w:pPr>
        <w:spacing w:after="90" w:line="260"/>
      </w:pPr>
      <w:r>
        <w:rPr>
          <w:b/>
          <w:bCs/>
          <w:color w:val="1A1A1A"/>
          <w:sz w:val="22"/>
          <w:szCs w:val="22"/>
        </w:rPr>
        <w:t xml:space="preserve">2  Mit Information umgehen – </w:t>
      </w:r>
      <w:r>
        <w:rPr>
          <w:color w:val="1A1A1A"/>
          <w:sz w:val="22"/>
          <w:szCs w:val="22"/>
        </w:rPr>
        <w:t xml:space="preserve">Information in Form von Daten darstellen und verarbeiten.</w:t>
      </w:r>
    </w:p>
    <w:p>
      <w:pPr>
        <w:spacing w:after="90" w:line="260"/>
      </w:pPr>
      <w:r>
        <w:rPr>
          <w:b/>
          <w:bCs/>
          <w:color w:val="1A1A1A"/>
          <w:sz w:val="22"/>
          <w:szCs w:val="22"/>
        </w:rPr>
        <w:t xml:space="preserve">3  Informatiksysteme verstehen – </w:t>
      </w:r>
      <w:r>
        <w:rPr>
          <w:color w:val="1A1A1A"/>
          <w:sz w:val="22"/>
          <w:szCs w:val="22"/>
        </w:rPr>
        <w:t xml:space="preserve">Wirkprinzipien kennen und anwenden.</w:t>
      </w:r>
    </w:p>
    <w:p>
      <w:pPr>
        <w:spacing w:after="90" w:line="260"/>
      </w:pPr>
      <w:r>
        <w:rPr>
          <w:b/>
          <w:bCs/>
          <w:color w:val="1A1A1A"/>
          <w:sz w:val="22"/>
          <w:szCs w:val="22"/>
        </w:rPr>
        <w:t xml:space="preserve">4  Informatisches Modellieren – </w:t>
      </w:r>
      <w:r>
        <w:rPr>
          <w:color w:val="1A1A1A"/>
          <w:sz w:val="22"/>
          <w:szCs w:val="22"/>
        </w:rPr>
        <w:t xml:space="preserve">Modelle erstellen und bewerten.</w:t>
      </w:r>
    </w:p>
    <w:p>
      <w:pPr>
        <w:spacing w:after="90" w:line="260"/>
      </w:pPr>
      <w:r>
        <w:rPr>
          <w:b/>
          <w:bCs/>
          <w:color w:val="1A1A1A"/>
          <w:sz w:val="22"/>
          <w:szCs w:val="22"/>
        </w:rPr>
        <w:t xml:space="preserve">5  Problemlösen – </w:t>
      </w:r>
      <w:r>
        <w:rPr>
          <w:color w:val="1A1A1A"/>
          <w:sz w:val="22"/>
          <w:szCs w:val="22"/>
        </w:rPr>
        <w:t xml:space="preserve">Probleme erfassen und mit Informatiksystemen lösen.</w:t>
      </w:r>
    </w:p>
    <w:p>
      <w:pPr>
        <w:spacing w:after="90" w:line="260"/>
      </w:pPr>
      <w:r>
        <w:rPr>
          <w:b/>
          <w:bCs/>
          <w:color w:val="1A1A1A"/>
          <w:sz w:val="22"/>
          <w:szCs w:val="22"/>
        </w:rPr>
        <w:t xml:space="preserve">6  Kommunizieren und Kooperieren – </w:t>
      </w:r>
      <w:r>
        <w:rPr>
          <w:color w:val="1A1A1A"/>
          <w:sz w:val="22"/>
          <w:szCs w:val="22"/>
        </w:rPr>
        <w:t xml:space="preserve">Teamarbeit organisieren und koordinieren.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3  Niveaustufen an unserer Schule</w:t>
      </w:r>
    </w:p>
    <w:p>
      <w:pPr>
        <w:spacing w:after="120" w:before="0" w:line="264"/>
      </w:pPr>
      <w:r>
        <w:rPr>
          <w:color w:val="1A1A1A"/>
          <w:sz w:val="22"/>
          <w:szCs w:val="22"/>
        </w:rPr>
        <w:t xml:space="preserve">Der Rahmenlehrplan weist acht Niveaustufen (A–H) aus; höhere Stufen schließen die darunterliegenden ein. Für die Integrierte Sekundarschule / Gemeinschaftsschule gilt in den Jahrgangsstufen 9/10: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grundlegendes Niveau: Niveaustufe F, in Teilen 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erweitertes Niveau: Niveaustufen F – 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zusätzliche Angebote auf Niveaustufe H für leistungsstarke Lernende</w:t>
      </w:r>
    </w:p>
    <w:p>
      <w:pPr>
        <w:spacing w:after="120" w:before="0" w:line="264"/>
      </w:pPr>
      <w:r>
        <w:rPr>
          <w:i/>
          <w:iCs/>
          <w:color w:val="1A1A1A"/>
          <w:sz w:val="20"/>
          <w:szCs w:val="20"/>
        </w:rPr>
        <w:t xml:space="preserve">Die Themenfelder werden binnendifferenziert auf verschiedenen Niveaustufen bearbeitet.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4  Jahresübersicht</w:t>
      </w:r>
    </w:p>
    <w:p>
      <w:pPr>
        <w:spacing w:after="100" w:before="0" w:line="264"/>
      </w:pPr>
      <w:r>
        <w:rPr>
          <w:i/>
          <w:iCs/>
          <w:color w:val="1A1A1A"/>
          <w:sz w:val="20"/>
          <w:szCs w:val="20"/>
        </w:rPr>
        <w:t xml:space="preserve">Die Wochenangaben sind Richtwerte und im Fachcurriculum anzupassen.</w:t>
      </w:r>
    </w:p>
    <w:tbl>
      <w:tblPr>
        <w:tblW w:type="dxa" w:w="9026"/>
        <w:tblBorders>
          <w:top w:val="single" w:color="B7C7CC" w:sz="4"/>
          <w:left w:val="single" w:color="B7C7CC" w:sz="4"/>
          <w:bottom w:val="single" w:color="B7C7CC" w:sz="4"/>
          <w:right w:val="single" w:color="B7C7CC" w:sz="4"/>
          <w:insideH w:val="single" w:color="B7C7CC" w:sz="4"/>
          <w:insideV w:val="single" w:color="B7C7CC" w:sz="4"/>
        </w:tblBorders>
      </w:tblPr>
      <w:tblGrid>
        <w:gridCol w:w="1150"/>
        <w:gridCol w:w="1300"/>
        <w:gridCol w:w="2450"/>
        <w:gridCol w:w="1650"/>
        <w:gridCol w:w="750"/>
        <w:gridCol w:w="1726"/>
      </w:tblGrid>
      <w:tr>
        <w:trPr>
          <w:tblHeader/>
        </w:trPr>
        <w:tc>
          <w:tcPr>
            <w:tcW w:type="dxa" w:w="11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/ Zeitraum</w:t>
            </w:r>
          </w:p>
        </w:tc>
        <w:tc>
          <w:tcPr>
            <w:tcW w:type="dxa" w:w="13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Themenfeld (RLP)</w:t>
            </w:r>
          </w:p>
        </w:tc>
        <w:tc>
          <w:tcPr>
            <w:tcW w:type="dxa" w:w="24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Inhalte</w:t>
            </w:r>
          </w:p>
        </w:tc>
        <w:tc>
          <w:tcPr>
            <w:tcW w:type="dxa" w:w="16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Schwerpunkt­kompetenzen</w:t>
            </w:r>
          </w:p>
        </w:tc>
        <w:tc>
          <w:tcPr>
            <w:tcW w:type="dxa" w:w="7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17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Projekt / Nachweis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Block 1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Informatik­systeme &amp; Daten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ca. 5 Wochen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(Einstieg)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3.2 Informatik­systeme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3.4 Information und Daten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Aufbau eines Informatiksystems, EVA-Prinzip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Zusammenwirken von Hardware, Software, Netzwerk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Daten – Information – Nachricht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Codierung, Zahlensysteme (binär), ASCII, QR-Code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Informatiksysteme verstehen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Mit Information umgehen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F – G</w:t>
            </w:r>
          </w:p>
        </w:tc>
        <w:tc>
          <w:tcPr>
            <w:tcW w:type="dxa" w:w="1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»Wie rechnet ein Computer?« – eigenes Codierungs­format / QR-Code-Werkstatt</w:t>
            </w:r>
          </w:p>
        </w:tc>
      </w:tr>
      <w:tr>
        <w:tc>
          <w:tcPr>
            <w:tcW w:type="dxa" w:w="11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Block 2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Algo­rith­misches Problem­lösen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ca. 12 Wochen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(Kernblock)</w:t>
            </w:r>
          </w:p>
        </w:tc>
        <w:tc>
          <w:tcPr>
            <w:tcW w:type="dxa" w:w="13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3.5 Algo­rith­misches Problem­lösen</w:t>
            </w:r>
          </w:p>
        </w:tc>
        <w:tc>
          <w:tcPr>
            <w:tcW w:type="dxa" w:w="24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Algorithmusbegriff und Darstellung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Grundstrukturen: Sequenz, Verzweigung, Wiederholung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Variablen, Prozeduren, erste Objekt­orientierung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Einstieg visuell (Scratch / Kara), Übergang zu Python oder Robotik</w:t>
            </w:r>
          </w:p>
        </w:tc>
        <w:tc>
          <w:tcPr>
            <w:tcW w:type="dxa" w:w="16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Problemlösen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Informatisches Modellieren</w:t>
            </w:r>
          </w:p>
        </w:tc>
        <w:tc>
          <w:tcPr>
            <w:tcW w:type="dxa" w:w="7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F – G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(auch H)</w:t>
            </w:r>
          </w:p>
        </w:tc>
        <w:tc>
          <w:tcPr>
            <w:tcW w:type="dxa" w:w="1726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Kleines Spiel oder Simulation, mit Dokumenta­tion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Block 3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Datenbanken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ca. 7 Wochen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(in Berlin Pflicht)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3.7 Datenbanken (in Berlin obligatorisch)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relationale Modellbildung (in Berlin obligatorisch)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Lebensweltliche Daten­sammlungen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Datensatz / Datenfeld, Attribute (Name, Typ, Wert)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Datensätze suchen, einfügen, löschen, ändern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Tabellen mit Standardsoftware planen; verknüpfte Tabellen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Informatisches Modellieren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Mit Information umgehen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F – G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(H: DB planen &amp; implemen­tieren)</w:t>
            </w:r>
          </w:p>
        </w:tc>
        <w:tc>
          <w:tcPr>
            <w:tcW w:type="dxa" w:w="1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Eigene Vereins- oder Medien­datenbank</w:t>
            </w:r>
          </w:p>
        </w:tc>
      </w:tr>
      <w:tr>
        <w:tc>
          <w:tcPr>
            <w:tcW w:type="dxa" w:w="11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Block 4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Wahlthemenfeld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ca. 6 Wochen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(nach Ausstattung / Interesse)</w:t>
            </w:r>
          </w:p>
        </w:tc>
        <w:tc>
          <w:tcPr>
            <w:tcW w:type="dxa" w:w="13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eines aus: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3.9 Physical Computing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3.10 Digitale Bilder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3.8 Projekt­management</w:t>
            </w:r>
          </w:p>
        </w:tc>
        <w:tc>
          <w:tcPr>
            <w:tcW w:type="dxa" w:w="24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Physical Computing: Mikrocontroller (Arduino / micro:bit / Calliope), Sensoren &amp; Aktoren, einfache Schaltungen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oder Digitale Bilder: Raster/Vektor, Farbmodelle, Bild­manipulation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oder Projektmanagement: Planung, Vorgehensmodell, Teamarbeit</w:t>
            </w:r>
          </w:p>
        </w:tc>
        <w:tc>
          <w:tcPr>
            <w:tcW w:type="dxa" w:w="16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je nach Wahl: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Informatiksysteme verstehen &amp; Problemlösen</w:t>
            </w:r>
          </w:p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bzw. Kommunizieren und Kooperieren</w:t>
            </w:r>
          </w:p>
        </w:tc>
        <w:tc>
          <w:tcPr>
            <w:tcW w:type="dxa" w:w="75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F – G</w:t>
            </w:r>
          </w:p>
        </w:tc>
        <w:tc>
          <w:tcPr>
            <w:tcW w:type="dxa" w:w="1726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36"/>
            </w:pPr>
            <w:r>
              <w:rPr>
                <w:color w:val="1A1A1A"/>
                <w:sz w:val="18"/>
                <w:szCs w:val="18"/>
              </w:rPr>
              <w:t xml:space="preserve">Abschluss­projekt mit Präsen­tation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5  Durchgängige (querliegende) Themen</w:t>
      </w:r>
    </w:p>
    <w:p>
      <w:pPr>
        <w:spacing w:after="120" w:before="0" w:line="264"/>
      </w:pPr>
      <w:r>
        <w:rPr>
          <w:color w:val="1A1A1A"/>
          <w:sz w:val="22"/>
          <w:szCs w:val="22"/>
        </w:rPr>
        <w:t xml:space="preserve">Die folgenden Bereiche werden nicht als eigener Block, sondern immanent über das ganze Schuljahr in die Projekte eingewoben: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3.3 Leben in und mit vernetzten Systemen: Datenschutz, Datensicherheit, Netiquette, gezielte Informationsbeschaffung und Prüfung der Glaubwürdigkeit von Quellen, Cybermobbing (Kompetenz: Mit Information umgehen).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Wechselwirkungen Informatik – Mensch – Gesellschaft: Urheberrecht, freie und geschützte Inhalte, aktuelle Entwicklungen (z. B. Künstliche Intelligenz) und deren Chancen und Risiken.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3.1 Standardsoftware: als Werkzeug zur Dokumentation und Präsentation durchgängig eingesetzt (Grundlagen i. d. R. bereits aus dem ITG, Kl. 7/8).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6  Leistungsbewertung</w:t>
      </w:r>
    </w:p>
    <w:p>
      <w:pPr>
        <w:spacing w:after="120" w:before="0" w:line="264"/>
      </w:pPr>
      <w:r>
        <w:rPr>
          <w:color w:val="1A1A1A"/>
          <w:sz w:val="22"/>
          <w:szCs w:val="22"/>
        </w:rPr>
        <w:t xml:space="preserve">Die Bewertung erfolgt produkt- und prozessorientiert und bezieht alle Kompetenzbereiche ein. Grundlage sind die geltenden Rechts- und Verwaltungsvorschriften. Bewertungsformen sind u. a.: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Qualität der erstellten Produkte (Programme, Datenbanken, Medienprodukte)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Dokumentation und Präsentation von Arbeitsprozessen und -ergebnissen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Arbeits- und Kooperationsverhalten in Gruppenphasen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schriftliche Lernkontrollen / Klassenarbeiten</w:t>
      </w:r>
    </w:p>
    <w:p>
      <w:pPr>
        <w:spacing w:after="120" w:before="0" w:line="264"/>
      </w:pPr>
      <w:r>
        <w:rPr>
          <w:i/>
          <w:iCs/>
          <w:color w:val="1A1A1A"/>
          <w:sz w:val="20"/>
          <w:szCs w:val="20"/>
        </w:rPr>
        <w:t xml:space="preserve">Reines Bedientempo bleibt unberücksichtigt, da es stark von außerschulischen Vorkenntnissen abhängt.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7  Differenzierung und Sprachbildung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Gestufte Aufgabenformate entlang der Niveaustufen F – H (Wahl- und Pflichtanteile).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Visueller Einstieg in die Programmierung (Scratch, Kara) als niedrigschwelliger Zugang.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Fachbegriff-Glossare, Wortlisten und Satzbausteine zur Sprachförderung (DaZ).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Scaffolding durch Struktur- und Musterlösungen; kooperative Lernformen mit klaren Rollen.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2"/>
          <w:szCs w:val="22"/>
        </w:rPr>
        <w:t xml:space="preserve">Handlungsorientierte, materialgestützte Projekte (z. B. Physical Computing) zur Entlastung sprachlicher Anforderungen.</w:t>
      </w:r>
    </w:p>
    <w:p>
      <w:pPr>
        <w:pBdr>
          <w:top w:val="single" w:color="B7C7CC" w:sz="6"/>
        </w:pBdr>
        <w:spacing w:before="240"/>
      </w:pPr>
      <w:r>
        <w:rPr>
          <w:i/>
          <w:iCs/>
          <w:color w:val="555555"/>
          <w:sz w:val="18"/>
          <w:szCs w:val="18"/>
        </w:rPr>
        <w:t xml:space="preserve">Verbindlich beschlossen in der Fachkonferenz Informatik am ____________   ·   Vorsitz: 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2026-08-26T12:04:38.667Z</dcterms:created>
  <dcterms:modified xsi:type="dcterms:W3CDTF">2026-08-26T12:04:38.667Z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