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1"/>
        <w:numPr>
          <w:ilvl w:val="0"/>
          <w:numId w:val="2"/>
        </w:numPr>
        <w:ind w:left="0"/>
        <w:rPr/>
      </w:pPr>
      <w:bookmarkStart w:colFirst="0" w:colLast="0" w:name="_sk0o60d4ao0d" w:id="0"/>
      <w:bookmarkEnd w:id="0"/>
      <w:r w:rsidDel="00000000" w:rsidR="00000000" w:rsidRPr="00000000">
        <w:rPr>
          <w:sz w:val="36"/>
          <w:szCs w:val="36"/>
          <w:rtl w:val="0"/>
        </w:rPr>
        <w:t xml:space="preserve">ФИТ НГУ, курс ООП, осенний семестр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spacing w:after="60" w:before="240" w:lineRule="auto"/>
        <w:ind w:left="0" w:firstLine="0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Задание №2. (25 баллов) Шаблон проектирования «фабричный метод», модульное тестирование (unit testing).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ind w:left="576" w:hanging="576"/>
        <w:contextualSpacing w:val="0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Часть 1. (15 баллов).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стековый калькулятор, который принимает в качестве аргумента </w:t>
      </w:r>
      <w:r w:rsidDel="00000000" w:rsidR="00000000" w:rsidRPr="00000000">
        <w:rPr>
          <w:rtl w:val="0"/>
        </w:rPr>
        <w:t xml:space="preserve">командной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строки имя файла, содержащего команды. Если аргумента нет, то использовать стандартный поток ввода для чтения команд. Использовать вещественные числа.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следующий набор команд: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строка с комментарием.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снять/положить число со/на стек(а).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, - , * , /, SQRT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арифметические операции. Используют один или два верхних элемента стека, изымают их из стека, помещая результат назад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печать верхнего элемента стека (без удаления).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задать значение параметра. В дальнейшем везде использовать вместо параметра это значение.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 (должно вывести 2):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a 4</w:t>
        <w:br w:type="textWrapping"/>
        <w:t xml:space="preserve">PUSH a</w:t>
        <w:br w:type="textWrapping"/>
        <w:t xml:space="preserve">SQRT </w:t>
        <w:br w:type="textWrapping"/>
        <w:t xml:space="preserve">PRINT </w:t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3"/>
        </w:numPr>
        <w:ind w:left="576" w:right="0" w:hanging="576"/>
        <w:contextualSpacing w:val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Часть 2. (10 баллов).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432" w:hanging="432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Реализовать набор модульных тестов, покрывающих функционал калькулятора.</w:t>
      </w:r>
    </w:p>
    <w:p w:rsidR="00000000" w:rsidDel="00000000" w:rsidP="00000000" w:rsidRDefault="00000000" w:rsidRPr="00000000" w14:paraId="0000000F">
      <w:pPr>
        <w:ind w:left="432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numPr>
          <w:ilvl w:val="2"/>
          <w:numId w:val="3"/>
        </w:numPr>
        <w:ind w:left="720" w:hanging="72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Методические указания: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tabs>
          <w:tab w:val="left" w:pos="284"/>
        </w:tabs>
        <w:ind w:left="284" w:right="0" w:hanging="284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Создание команд рекомендуется реализовать посредством шаблона проектирования «фабричный метод» (</w:t>
      </w:r>
      <w:hyperlink r:id="rId6">
        <w:r w:rsidDel="00000000" w:rsidR="00000000" w:rsidRPr="00000000">
          <w:rPr>
            <w:color w:val="0000ff"/>
            <w:sz w:val="20"/>
            <w:szCs w:val="20"/>
            <w:u w:val="single"/>
            <w:vertAlign w:val="baseline"/>
            <w:rtl w:val="0"/>
          </w:rPr>
          <w:t xml:space="preserve">http://ru.wikipedia.org/wiki/Фабричный_метод_(шаблон_проектирования</w:t>
        </w:r>
      </w:hyperlink>
      <w:hyperlink r:id="rId7">
        <w:r w:rsidDel="00000000" w:rsidR="00000000" w:rsidRPr="00000000">
          <w:rPr>
            <w:color w:val="0000ff"/>
            <w:sz w:val="20"/>
            <w:szCs w:val="20"/>
            <w:u w:val="single"/>
            <w:vertAlign w:val="baseline"/>
            <w:rtl w:val="0"/>
          </w:rPr>
          <w:t xml:space="preserve">)</w:t>
        </w:r>
      </w:hyperlink>
      <w:r w:rsidDel="00000000" w:rsidR="00000000" w:rsidRPr="00000000">
        <w:rPr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tabs>
          <w:tab w:val="left" w:pos="284"/>
        </w:tabs>
        <w:ind w:left="284" w:right="0" w:hanging="284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Аргументы команде (тем у которых есть аргументы) на исполнение можно передавать в виде списка объектов, команда сама должна уметь интерпретировать свои аргументы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tabs>
          <w:tab w:val="left" w:pos="284"/>
        </w:tabs>
        <w:ind w:left="284" w:right="0" w:hanging="284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Содержимое стека и список (лучше ассоциативный контейнер std::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baseline"/>
          <w:rtl w:val="0"/>
        </w:rPr>
        <w:t xml:space="preserve">ap&lt;</w:t>
      </w:r>
      <w:r w:rsidDel="00000000" w:rsidR="00000000" w:rsidRPr="00000000">
        <w:rPr>
          <w:rtl w:val="0"/>
        </w:rPr>
        <w:t xml:space="preserve">std::s</w:t>
      </w:r>
      <w:r w:rsidDel="00000000" w:rsidR="00000000" w:rsidRPr="00000000">
        <w:rPr>
          <w:vertAlign w:val="baseline"/>
          <w:rtl w:val="0"/>
        </w:rPr>
        <w:t xml:space="preserve">tring,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ouble&gt;) определенных именованных параметров передавать команде в виде специального объекта — контекста исполнения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tabs>
          <w:tab w:val="left" w:pos="284"/>
        </w:tabs>
        <w:ind w:left="284" w:right="0" w:hanging="284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Разработать иерархию исключений, которые будут выбрасывать команды при исполнении. В случае возникновения исключения — выводить информацию об ошибке и продолжать исполнение программы (из файла или команд вводимых с консоли)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tabs>
          <w:tab w:val="left" w:pos="284"/>
        </w:tabs>
        <w:ind w:left="284" w:right="0" w:hanging="284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Для реализации модульных тестов использовать Google Test Framework (</w:t>
      </w:r>
      <w:hyperlink r:id="rId8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https://ru.wikipedia.org/wiki/Google_C%2B%2B_Testing_Framework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https://www.ibm.com/developerworks/aix/library/au-googletestingframework.html</w:t>
        </w:r>
      </w:hyperlink>
      <w:r w:rsidDel="00000000" w:rsidR="00000000" w:rsidRPr="00000000">
        <w:rPr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tabs>
          <w:tab w:val="left" w:pos="284"/>
        </w:tabs>
        <w:ind w:left="432" w:righ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footerReference r:id="rId14" w:type="even"/>
      <w:pgSz w:h="16838" w:w="11906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44"/>
        <w:tab w:val="right" w:pos="9689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2921000</wp:posOffset>
              </wp:positionH>
              <wp:positionV relativeFrom="paragraph">
                <wp:posOffset>0</wp:posOffset>
              </wp:positionV>
              <wp:extent cx="85090" cy="183515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08218" y="3693005"/>
                        <a:ext cx="7556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2921000</wp:posOffset>
              </wp:positionH>
              <wp:positionV relativeFrom="paragraph">
                <wp:posOffset>0</wp:posOffset>
              </wp:positionV>
              <wp:extent cx="85090" cy="183515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5090" cy="1835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32" w:hanging="432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32" w:hanging="432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Rule="auto"/>
      <w:ind w:left="432" w:hanging="432"/>
      <w:contextualSpacing w:val="0"/>
      <w:jc w:val="left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1"/>
      <w:spacing w:after="60" w:before="240" w:lineRule="auto"/>
      <w:ind w:left="576" w:hanging="576"/>
      <w:contextualSpacing w:val="0"/>
      <w:jc w:val="left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1"/>
      <w:spacing w:after="60" w:before="240" w:lineRule="auto"/>
      <w:ind w:left="720" w:hanging="720"/>
      <w:contextualSpacing w:val="0"/>
      <w:jc w:val="left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widowControl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bm.com/developerworks/aix/library/au-googletestingframework.html" TargetMode="Externa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yperlink" Target="http://ru.wikipedia.org/wiki/%D0%A4%D0%B0%D0%B1%D1%80%D0%B8%D1%87%D0%BD%D1%8B%D0%B9_%D0%BC%D0%B5%D1%82%D0%BE%D0%B4_(%D1%88%D0%B0%D0%B1%D0%BB%D0%BE%D0%BD_%D0%BF%D1%80%D0%BE%D0%B5%D0%BA%D1%82%D0%B8%D1%80%D0%BE%D0%B2%D0%B0%D0%BD%D0%B8%D1%8F" TargetMode="External"/><Relationship Id="rId7" Type="http://schemas.openxmlformats.org/officeDocument/2006/relationships/hyperlink" Target="http://ru.wikipedia.org/wiki/%D0%A4%D0%B0%D0%B1%D1%80%D0%B8%D1%87%D0%BD%D1%8B%D0%B9_%D0%BC%D0%B5%D1%82%D0%BE%D0%B4_(%D1%88%D0%B0%D0%B1%D0%BB%D0%BE%D0%BD_%D0%BF%D1%80%D0%BE%D0%B5%D0%BA%D1%82%D0%B8%D1%80%D0%BE%D0%B2%D0%B0%D0%BD%D0%B8%D1%8F)" TargetMode="External"/><Relationship Id="rId8" Type="http://schemas.openxmlformats.org/officeDocument/2006/relationships/hyperlink" Target="https://ru.wikipedia.org/wiki/Google_C%2B%2B_Testing_Framework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