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Review 2 — Preparation, Demo and Decisions</w:t>
      </w:r>
    </w:p>
    <w:p>
      <w:r>
        <w:t>DroneOps Intelligence | FA26SE238 | Review 2 DRAFT | 19 October 2026</w:t>
      </w:r>
    </w:p>
    <w:p>
      <w:pPr>
        <w:pStyle w:val="Heading1"/>
      </w:pPr>
      <w:r>
        <w:t>1. Required submission checklist</w:t>
      </w:r>
    </w:p>
    <w:tbl>
      <w:tblPr>
        <w:tblStyle w:val="LightShading-Accent1"/>
        <w:tblW w:type="auto" w:w="0"/>
        <w:tblLook w:firstColumn="1" w:firstRow="1" w:lastColumn="0" w:lastRow="0" w:noHBand="0" w:noVBand="1" w:val="04A0"/>
      </w:tblPr>
      <w:tblGrid>
        <w:gridCol w:w="3400"/>
        <w:gridCol w:w="3400"/>
        <w:gridCol w:w="3400"/>
      </w:tblGrid>
      <w:tr>
        <w:tc>
          <w:tcPr>
            <w:tcW w:type="dxa" w:w="3400"/>
          </w:tcPr>
          <w:p>
            <w:r>
              <w:t>Guideline requirement</w:t>
            </w:r>
          </w:p>
        </w:tc>
        <w:tc>
          <w:tcPr>
            <w:tcW w:type="dxa" w:w="3400"/>
          </w:tcPr>
          <w:p>
            <w:r>
              <w:t>Prepared artifact</w:t>
            </w:r>
          </w:p>
        </w:tc>
        <w:tc>
          <w:tcPr>
            <w:tcW w:type="dxa" w:w="3400"/>
          </w:tcPr>
          <w:p>
            <w:r>
              <w:t>Remaining confirmation</w:t>
            </w:r>
          </w:p>
        </w:tc>
      </w:tr>
      <w:tr>
        <w:tc>
          <w:tcPr>
            <w:tcW w:type="dxa" w:w="3400"/>
          </w:tcPr>
          <w:p>
            <w:r>
              <w:t>Official registration</w:t>
            </w:r>
          </w:p>
        </w:tc>
        <w:tc>
          <w:tcPr>
            <w:tcW w:type="dxa" w:w="3400"/>
          </w:tcPr>
          <w:p>
            <w:r>
              <w:t>review/reference/FA26SE238_...tripm14.docx — identical original copy</w:t>
            </w:r>
          </w:p>
        </w:tc>
        <w:tc>
          <w:tcPr>
            <w:tcW w:type="dxa" w:w="3400"/>
          </w:tcPr>
          <w:p>
            <w:r>
              <w:t>Confirm required signature/official approval externally; content unchanged.</w:t>
            </w:r>
          </w:p>
        </w:tc>
      </w:tr>
      <w:tr>
        <w:tc>
          <w:tcPr>
            <w:tcW w:type="dxa" w:w="3400"/>
          </w:tcPr>
          <w:p>
            <w:r>
              <w:t>Updated Project Management Plan</w:t>
            </w:r>
          </w:p>
        </w:tc>
        <w:tc>
          <w:tcPr>
            <w:tcW w:type="dxa" w:w="3400"/>
          </w:tcPr>
          <w:p>
            <w:r>
              <w:t>Report2_Project_Management_Plan.docx</w:t>
            </w:r>
          </w:p>
        </w:tc>
        <w:tc>
          <w:tcPr>
            <w:tcW w:type="dxa" w:w="3400"/>
          </w:tcPr>
          <w:p>
            <w:r>
              <w:t>Team review and actual appointment/deadline.</w:t>
            </w:r>
          </w:p>
        </w:tc>
      </w:tr>
      <w:tr>
        <w:tc>
          <w:tcPr>
            <w:tcW w:type="dxa" w:w="3400"/>
          </w:tcPr>
          <w:p>
            <w:r>
              <w:t>SRS final</w:t>
            </w:r>
          </w:p>
        </w:tc>
        <w:tc>
          <w:tcPr>
            <w:tcW w:type="dxa" w:w="3400"/>
          </w:tcPr>
          <w:p>
            <w:r>
              <w:t>Report3_Software Requirement Specification.docx — revised draft</w:t>
            </w:r>
          </w:p>
        </w:tc>
        <w:tc>
          <w:tcPr>
            <w:tcW w:type="dxa" w:w="3400"/>
          </w:tcPr>
          <w:p>
            <w:r>
              <w:t>Finalize open scope/design decisions with supervisors before calling it final.</w:t>
            </w:r>
          </w:p>
        </w:tc>
      </w:tr>
      <w:tr>
        <w:tc>
          <w:tcPr>
            <w:tcW w:type="dxa" w:w="3400"/>
          </w:tcPr>
          <w:p>
            <w:r>
              <w:t>SDD initial</w:t>
            </w:r>
          </w:p>
        </w:tc>
        <w:tc>
          <w:tcPr>
            <w:tcW w:type="dxa" w:w="3400"/>
          </w:tcPr>
          <w:p>
            <w:r>
              <w:t>Report4_Software Design Document.docx</w:t>
            </w:r>
          </w:p>
        </w:tc>
        <w:tc>
          <w:tcPr>
            <w:tcW w:type="dxa" w:w="3400"/>
          </w:tcPr>
          <w:p>
            <w:r>
              <w:t>Review target designs and proposed database additions.</w:t>
            </w:r>
          </w:p>
        </w:tc>
      </w:tr>
      <w:tr>
        <w:tc>
          <w:tcPr>
            <w:tcW w:type="dxa" w:w="3400"/>
          </w:tcPr>
          <w:p>
            <w:r>
              <w:t>Test Plan draft</w:t>
            </w:r>
          </w:p>
        </w:tc>
        <w:tc>
          <w:tcPr>
            <w:tcW w:type="dxa" w:w="3400"/>
          </w:tcPr>
          <w:p>
            <w:r>
              <w:t>Report5_Test Documentation.docx + two workbooks</w:t>
            </w:r>
          </w:p>
        </w:tc>
        <w:tc>
          <w:tcPr>
            <w:tcW w:type="dxa" w:w="3400"/>
          </w:tcPr>
          <w:p>
            <w:r>
              <w:t>Execute tests later; all cases Pending.</w:t>
            </w:r>
          </w:p>
        </w:tc>
      </w:tr>
      <w:tr>
        <w:tc>
          <w:tcPr>
            <w:tcW w:type="dxa" w:w="3400"/>
          </w:tcPr>
          <w:p>
            <w:r>
              <w:t>Design slides</w:t>
            </w:r>
          </w:p>
        </w:tc>
        <w:tc>
          <w:tcPr>
            <w:tcW w:type="dxa" w:w="3400"/>
          </w:tcPr>
          <w:p>
            <w:r>
              <w:t>slides/DroneOps_Review2.pptx — 12 slides with speaker notes</w:t>
            </w:r>
          </w:p>
        </w:tc>
        <w:tc>
          <w:tcPr>
            <w:tcW w:type="dxa" w:w="3400"/>
          </w:tcPr>
          <w:p>
            <w:r>
              <w:t>Nominate presenter/time allocation and rehearse.</w:t>
            </w:r>
          </w:p>
        </w:tc>
      </w:tr>
      <w:tr>
        <w:tc>
          <w:tcPr>
            <w:tcW w:type="dxa" w:w="3400"/>
          </w:tcPr>
          <w:p>
            <w:r>
              <w:t>Review minutes</w:t>
            </w:r>
          </w:p>
        </w:tc>
        <w:tc>
          <w:tcPr>
            <w:tcW w:type="dxa" w:w="3400"/>
          </w:tcPr>
          <w:p>
            <w:r>
              <w:t>Review2_Minutes_Template.docx</w:t>
            </w:r>
          </w:p>
        </w:tc>
        <w:tc>
          <w:tcPr>
            <w:tcW w:type="dxa" w:w="3400"/>
          </w:tcPr>
          <w:p>
            <w:r>
              <w:t>Complete and agree during review; no fictitious attendance or sign-off.</w:t>
            </w:r>
          </w:p>
        </w:tc>
      </w:tr>
    </w:tbl>
    <w:p>
      <w:pPr>
        <w:pStyle w:val="Heading1"/>
      </w:pPr>
      <w:r>
        <w:t>2. Demo fixtures and prerequisites</w:t>
      </w:r>
    </w:p>
    <w:p>
      <w:r>
        <w:t>Use a tagged disposable build, two distinct Operator identities and one scoped Manager, an assigned active UAV, known route/zone/altitude-reference fixtures, current validation and an approved mission baseline. Record old metadata/ordered waypoints/status before testing an update. Use non-personal test media and deterministic telemetry with source/receive timestamps. Never embed server secrets in the dossier.</w:t>
      </w:r>
    </w:p>
    <w:tbl>
      <w:tblPr>
        <w:tblStyle w:val="LightShading-Accent1"/>
        <w:tblW w:type="auto" w:w="0"/>
        <w:tblLook w:firstColumn="1" w:firstRow="1" w:lastColumn="0" w:lastRow="0" w:noHBand="0" w:noVBand="1" w:val="04A0"/>
      </w:tblPr>
      <w:tblGrid>
        <w:gridCol w:w="3400"/>
        <w:gridCol w:w="3400"/>
        <w:gridCol w:w="3400"/>
      </w:tblGrid>
      <w:tr>
        <w:tc>
          <w:tcPr>
            <w:tcW w:type="dxa" w:w="3400"/>
          </w:tcPr>
          <w:p>
            <w:r>
              <w:t>Demo</w:t>
            </w:r>
          </w:p>
        </w:tc>
        <w:tc>
          <w:tcPr>
            <w:tcW w:type="dxa" w:w="3400"/>
          </w:tcPr>
          <w:p>
            <w:r>
              <w:t>Script / expected result</w:t>
            </w:r>
          </w:p>
        </w:tc>
        <w:tc>
          <w:tcPr>
            <w:tcW w:type="dxa" w:w="3400"/>
          </w:tcPr>
          <w:p>
            <w:r>
              <w:t>Ready only when</w:t>
            </w:r>
          </w:p>
        </w:tc>
      </w:tr>
      <w:tr>
        <w:tc>
          <w:tcPr>
            <w:tcW w:type="dxa" w:w="3400"/>
          </w:tcPr>
          <w:p>
            <w:r>
              <w:t>A — Initial mission</w:t>
            </w:r>
          </w:p>
        </w:tc>
        <w:tc>
          <w:tcPr>
            <w:tcW w:type="dxa" w:w="3400"/>
          </w:tcPr>
          <w:p>
            <w:r>
              <w:t>Operator creates Draft with ordered route; submits; Manager sees evidence and approves valid mission.</w:t>
            </w:r>
          </w:p>
        </w:tc>
        <w:tc>
          <w:tcPr>
            <w:tcW w:type="dxa" w:w="3400"/>
          </w:tcPr>
          <w:p>
            <w:r>
              <w:t>State/role/persistence/mandatory validation verified on actual build.</w:t>
            </w:r>
          </w:p>
        </w:tc>
      </w:tr>
      <w:tr>
        <w:tc>
          <w:tcPr>
            <w:tcW w:type="dxa" w:w="3400"/>
          </w:tcPr>
          <w:p>
            <w:r>
              <w:t>B — Reject approved update</w:t>
            </w:r>
          </w:p>
        </w:tc>
        <w:tc>
          <w:tcPr>
            <w:tcW w:type="dxa" w:w="3400"/>
          </w:tcPr>
          <w:p>
            <w:r>
              <w:t>Save changed metadata/route; show pending proposal separate from current; Manager rejects with reason; both roles reload. Old content and Approved status remain.</w:t>
            </w:r>
          </w:p>
        </w:tc>
        <w:tc>
          <w:tcPr>
            <w:tcW w:type="dxa" w:w="3400"/>
          </w:tcPr>
          <w:p>
            <w:r>
              <w:t>Review staging and rejection invariants implemented, TC-M03 passes with evidence.</w:t>
            </w:r>
          </w:p>
        </w:tc>
      </w:tr>
      <w:tr>
        <w:tc>
          <w:tcPr>
            <w:tcW w:type="dxa" w:w="3400"/>
          </w:tcPr>
          <w:p>
            <w:r>
              <w:t>C — Approve approved update</w:t>
            </w:r>
          </w:p>
        </w:tc>
        <w:tc>
          <w:tcPr>
            <w:tcW w:type="dxa" w:w="3400"/>
          </w:tcPr>
          <w:p>
            <w:r>
              <w:t>Send second valid update; validate current proposal; Manager approves exact request; reload same mission ID and accepted new content.</w:t>
            </w:r>
          </w:p>
        </w:tc>
        <w:tc>
          <w:tcPr>
            <w:tcW w:type="dxa" w:w="3400"/>
          </w:tcPr>
          <w:p>
            <w:r>
              <w:t>Atomic apply and rollback/conflict cases TC-M04/M08/M12 verified.</w:t>
            </w:r>
          </w:p>
        </w:tc>
      </w:tr>
      <w:tr>
        <w:tc>
          <w:tcPr>
            <w:tcW w:type="dxa" w:w="3400"/>
          </w:tcPr>
          <w:p>
            <w:r>
              <w:t>D — Monitoring/incidents</w:t>
            </w:r>
          </w:p>
        </w:tc>
        <w:tc>
          <w:tcPr>
            <w:tcW w:type="dxa" w:w="3400"/>
          </w:tcPr>
          <w:p>
            <w:r>
              <w:t>Replay labelled samples; show latest/SSE/freshness; stop packets; one timed communication-loss incident; acknowledge and manager resolve.</w:t>
            </w:r>
          </w:p>
        </w:tc>
        <w:tc>
          <w:tcPr>
            <w:tcW w:type="dxa" w:w="3400"/>
          </w:tcPr>
          <w:p>
            <w:r>
              <w:t>Gateway source verified; missing timer/actions/FE screens completed; TC-T07/I04/I05 verified.</w:t>
            </w:r>
          </w:p>
        </w:tc>
      </w:tr>
      <w:tr>
        <w:tc>
          <w:tcPr>
            <w:tcW w:type="dxa" w:w="3400"/>
          </w:tcPr>
          <w:p>
            <w:r>
              <w:t>E — History/AI optional</w:t>
            </w:r>
          </w:p>
        </w:tc>
        <w:tc>
          <w:tcPr>
            <w:tcW w:type="dxa" w:w="3400"/>
          </w:tcPr>
          <w:p>
            <w:r>
              <w:t>Known fixture report and route playback; advisory AI success/provider failure with original context.</w:t>
            </w:r>
          </w:p>
        </w:tc>
        <w:tc>
          <w:tcPr>
            <w:tcW w:type="dxa" w:w="3400"/>
          </w:tcPr>
          <w:p>
            <w:r>
              <w:t>Use only verified endpoints/UI; registered similarity-retrieval gap stated.</w:t>
            </w:r>
          </w:p>
        </w:tc>
      </w:tr>
    </w:tbl>
    <w:p>
      <w:r>
        <w:t>If a target function is missing, present its diagram/mockup as design only. A playback or stub is labelled clearly and must not be represented as actual UAV flight, delivered email or successful production execution. Capture commit, fixture, actor, timestamps, logs and screenshots after rehearsal.</w:t>
      </w:r>
    </w:p>
    <w:p>
      <w:pPr>
        <w:pStyle w:val="Heading1"/>
      </w:pPr>
      <w:r>
        <w:t>3. Decision log to close before final SRS</w:t>
      </w:r>
    </w:p>
    <w:tbl>
      <w:tblPr>
        <w:tblStyle w:val="LightShading-Accent1"/>
        <w:tblW w:type="auto" w:w="0"/>
        <w:tblLook w:firstColumn="1" w:firstRow="1" w:lastColumn="0" w:lastRow="0" w:noHBand="0" w:noVBand="1" w:val="04A0"/>
      </w:tblPr>
      <w:tblGrid>
        <w:gridCol w:w="3400"/>
        <w:gridCol w:w="3400"/>
        <w:gridCol w:w="3400"/>
      </w:tblGrid>
      <w:tr>
        <w:tc>
          <w:tcPr>
            <w:tcW w:type="dxa" w:w="3400"/>
          </w:tcPr>
          <w:p>
            <w:r>
              <w:t>ID</w:t>
            </w:r>
          </w:p>
        </w:tc>
        <w:tc>
          <w:tcPr>
            <w:tcW w:type="dxa" w:w="3400"/>
          </w:tcPr>
          <w:p>
            <w:r>
              <w:t>Decision required</w:t>
            </w:r>
          </w:p>
        </w:tc>
        <w:tc>
          <w:tcPr>
            <w:tcW w:type="dxa" w:w="3400"/>
          </w:tcPr>
          <w:p>
            <w:r>
              <w:t>Suggested owner / status</w:t>
            </w:r>
          </w:p>
        </w:tc>
      </w:tr>
      <w:tr>
        <w:tc>
          <w:tcPr>
            <w:tcW w:type="dxa" w:w="3400"/>
          </w:tcPr>
          <w:p>
            <w:r>
              <w:t>DEC-01</w:t>
            </w:r>
          </w:p>
        </w:tc>
        <w:tc>
          <w:tcPr>
            <w:tcW w:type="dxa" w:w="3400"/>
          </w:tcPr>
          <w:p>
            <w:r>
              <w:t>Recorded mission-update agreement differs from registration wording about mission versions. Keep form unchanged; obtain documented confirmation of working SRS policy.</w:t>
            </w:r>
          </w:p>
        </w:tc>
        <w:tc>
          <w:tcPr>
            <w:tcW w:type="dxa" w:w="3400"/>
          </w:tcPr>
          <w:p>
            <w:r>
              <w:t>Team leader + supervisors / Awaiting confirmation record.</w:t>
            </w:r>
          </w:p>
        </w:tc>
      </w:tr>
      <w:tr>
        <w:tc>
          <w:tcPr>
            <w:tcW w:type="dxa" w:w="3400"/>
          </w:tcPr>
          <w:p>
            <w:r>
              <w:t>DEC-02</w:t>
            </w:r>
          </w:p>
        </w:tc>
        <w:tc>
          <w:tcPr>
            <w:tcW w:type="dxa" w:w="3400"/>
          </w:tcPr>
          <w:p>
            <w:r>
              <w:t>Registration requires Top-k similarity retrieval; current reports/source emphasize external AI API only. Confirm retained scope or approved change separately.</w:t>
            </w:r>
          </w:p>
        </w:tc>
        <w:tc>
          <w:tcPr>
            <w:tcW w:type="dxa" w:w="3400"/>
          </w:tcPr>
          <w:p>
            <w:r>
              <w:t>MF4 owner + supervisors / Open; do not assume removal.</w:t>
            </w:r>
          </w:p>
        </w:tc>
      </w:tr>
      <w:tr>
        <w:tc>
          <w:tcPr>
            <w:tcW w:type="dxa" w:w="3400"/>
          </w:tcPr>
          <w:p>
            <w:r>
              <w:t>DEC-03</w:t>
            </w:r>
          </w:p>
        </w:tc>
        <w:tc>
          <w:tcPr>
            <w:tcW w:type="dxa" w:w="3400"/>
          </w:tcPr>
          <w:p>
            <w:r>
              <w:t>Multiple simultaneous pending update requests: one active or explicit supersede policy; stale proposals never overwrite newer current content.</w:t>
            </w:r>
          </w:p>
        </w:tc>
        <w:tc>
          <w:tcPr>
            <w:tcW w:type="dxa" w:w="3400"/>
          </w:tcPr>
          <w:p>
            <w:r>
              <w:t>MF1 owner + team / Open.</w:t>
            </w:r>
          </w:p>
        </w:tc>
      </w:tr>
      <w:tr>
        <w:tc>
          <w:tcPr>
            <w:tcW w:type="dxa" w:w="3400"/>
          </w:tcPr>
          <w:p>
            <w:r>
              <w:t>DEC-04</w:t>
            </w:r>
          </w:p>
        </w:tc>
        <w:tc>
          <w:tcPr>
            <w:tcW w:type="dxa" w:w="3400"/>
          </w:tcPr>
          <w:p>
            <w:r>
              <w:t>Manager edit/self-approval and role/scope semantics, initial rejection and re-edit eligibility.</w:t>
            </w:r>
          </w:p>
        </w:tc>
        <w:tc>
          <w:tcPr>
            <w:tcW w:type="dxa" w:w="3400"/>
          </w:tcPr>
          <w:p>
            <w:r>
              <w:t>MF1 owner + supervisors / Confirm.</w:t>
            </w:r>
          </w:p>
        </w:tc>
      </w:tr>
      <w:tr>
        <w:tc>
          <w:tcPr>
            <w:tcW w:type="dxa" w:w="3400"/>
          </w:tcPr>
          <w:p>
            <w:r>
              <w:t>DEC-05</w:t>
            </w:r>
          </w:p>
        </w:tc>
        <w:tc>
          <w:tcPr>
            <w:tcW w:type="dxa" w:w="3400"/>
          </w:tcPr>
          <w:p>
            <w:r>
              <w:t>Mandatory geometry boundary / altitude reference, missing restriction handling; final latency/load/availability thresholds.</w:t>
            </w:r>
          </w:p>
        </w:tc>
        <w:tc>
          <w:tcPr>
            <w:tcW w:type="dxa" w:w="3400"/>
          </w:tcPr>
          <w:p>
            <w:r>
              <w:t>MF1/MF2 owners + supervisors / Confirm measurable targets.</w:t>
            </w:r>
          </w:p>
        </w:tc>
      </w:tr>
      <w:tr>
        <w:tc>
          <w:tcPr>
            <w:tcW w:type="dxa" w:w="3400"/>
          </w:tcPr>
          <w:p>
            <w:r>
              <w:t>DEC-06</w:t>
            </w:r>
          </w:p>
        </w:tc>
        <w:tc>
          <w:tcPr>
            <w:tcW w:type="dxa" w:w="3400"/>
          </w:tcPr>
          <w:p>
            <w:r>
              <w:t>Repeat-flight/execution identity, incident recovery/deduplication, alert retention and mobile delivery scope.</w:t>
            </w:r>
          </w:p>
        </w:tc>
        <w:tc>
          <w:tcPr>
            <w:tcW w:type="dxa" w:w="3400"/>
          </w:tcPr>
          <w:p>
            <w:r>
              <w:t>MF2/MF3 owners + supervisors / Confirm.</w:t>
            </w:r>
          </w:p>
        </w:tc>
      </w:tr>
      <w:tr>
        <w:tc>
          <w:tcPr>
            <w:tcW w:type="dxa" w:w="3400"/>
          </w:tcPr>
          <w:p>
            <w:r>
              <w:t>DEC-07</w:t>
            </w:r>
          </w:p>
        </w:tc>
        <w:tc>
          <w:tcPr>
            <w:tcW w:type="dxa" w:w="3400"/>
          </w:tcPr>
          <w:p>
            <w:r>
              <w:t>Review appointment, submission deadline, demo allocation and formal registration signature.</w:t>
            </w:r>
          </w:p>
        </w:tc>
        <w:tc>
          <w:tcPr>
            <w:tcW w:type="dxa" w:w="3400"/>
          </w:tcPr>
          <w:p>
            <w:r>
              <w:t>Team leader / Confirm from university.</w:t>
            </w:r>
          </w:p>
        </w:tc>
      </w:tr>
    </w:tbl>
    <w:p>
      <w:pPr>
        <w:pStyle w:val="Heading1"/>
      </w:pPr>
      <w:r>
        <w:t>4. Guideline logistics</w:t>
      </w:r>
    </w:p>
    <w:p>
      <w:r>
        <w:t>Source: SE CAPSTONE PROJECT REVIEW GUIDELINE.pdf, pp. 1–3. Submit the slide deck and dossier at least 24 hours before the confirmed session. Present registration, design slides and nominated workflows; record reviewer/supervisor feedback. Agree minutes during the review and circulate them before the session ends, including the recipients/CC required in the guideline. Allow the stated 48-hour correction window, then retain minutes, email and evidence. These are preparation instructions for the team; no external messages are sent by this task.</w:t>
      </w:r>
    </w:p>
    <w:p>
      <w:pPr>
        <w:pStyle w:val="Heading1"/>
      </w:pPr>
      <w:r>
        <w:t>5. Source and verification boundary</w:t>
      </w:r>
    </w:p>
    <w:p>
      <w:r>
        <w:t>Source inspected: working tree on Qthong, HEAD 5b52dad2627a0fc0d1cbff19dac1576dcc2e5c29; local uncommitted changes may be present. Requirements/templates and existing docs were inspected. New diagrams were exported through mxGraph in headless Chrome. No live DB/schema inspection, UAV flight, provider/email smoke test or full FE/BE test run was performed for this documentation request.</w:t>
      </w:r>
    </w:p>
    <w:sectPr w:rsidR="00FC693F" w:rsidRPr="0006063C" w:rsidSect="00034616">
      <w:pgSz w:w="12240" w:h="15840"/>
      <w:pgMar w:top="1440" w:right="1020" w:bottom="144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