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color w:val="19212D"/>
          <w:sz w:val="46"/>
        </w:rPr>
        <w:t>BOARD REVIEW</w:t>
      </w:r>
    </w:p>
    <w:p>
      <w:pPr>
        <w:spacing w:after="360"/>
      </w:pPr>
      <w:r>
        <w:rPr>
          <w:rFonts w:ascii="Calibri" w:hAnsi="Calibri"/>
          <w:color w:val="5C6774"/>
          <w:sz w:val="30"/>
        </w:rPr>
        <w:t>freecertprep Product, Content, Technology, and Strategy</w:t>
      </w:r>
    </w:p>
    <w:p>
      <w:pPr>
        <w:spacing w:after="40"/>
      </w:pPr>
      <w:r>
        <w:rPr>
          <w:rFonts w:ascii="Calibri" w:hAnsi="Calibri"/>
          <w:b/>
          <w:color w:val="19212D"/>
          <w:sz w:val="22"/>
        </w:rPr>
        <w:t xml:space="preserve">To: </w:t>
      </w:r>
      <w:r>
        <w:rPr>
          <w:rFonts w:ascii="Calibri" w:hAnsi="Calibri"/>
          <w:color w:val="19212D"/>
          <w:sz w:val="22"/>
        </w:rPr>
        <w:t>Board and strategic stakeholders</w:t>
      </w:r>
    </w:p>
    <w:p>
      <w:pPr>
        <w:spacing w:after="40"/>
      </w:pPr>
      <w:r>
        <w:rPr>
          <w:rFonts w:ascii="Calibri" w:hAnsi="Calibri"/>
          <w:b/>
          <w:color w:val="19212D"/>
          <w:sz w:val="22"/>
        </w:rPr>
        <w:t xml:space="preserve">Date: </w:t>
      </w:r>
      <w:r>
        <w:rPr>
          <w:rFonts w:ascii="Calibri" w:hAnsi="Calibri"/>
          <w:color w:val="19212D"/>
          <w:sz w:val="22"/>
        </w:rPr>
        <w:t>June 8, 2026</w:t>
      </w:r>
    </w:p>
    <w:p>
      <w:pPr>
        <w:spacing w:after="40"/>
      </w:pPr>
      <w:r>
        <w:rPr>
          <w:rFonts w:ascii="Calibri" w:hAnsi="Calibri"/>
          <w:b/>
          <w:color w:val="19212D"/>
          <w:sz w:val="22"/>
        </w:rPr>
        <w:t xml:space="preserve">Scope: </w:t>
      </w:r>
      <w:r>
        <w:rPr>
          <w:rFonts w:ascii="Calibri" w:hAnsi="Calibri"/>
          <w:color w:val="19212D"/>
          <w:sz w:val="22"/>
        </w:rPr>
        <w:t>Current offerings, recent changes, risk, roadmap, and board decisions</w:t>
      </w:r>
    </w:p>
    <w:p>
      <w:pPr>
        <w:spacing w:after="40"/>
      </w:pPr>
      <w:r>
        <w:rPr>
          <w:rFonts w:ascii="Calibri" w:hAnsi="Calibri"/>
          <w:b/>
          <w:color w:val="19212D"/>
          <w:sz w:val="22"/>
        </w:rPr>
        <w:t xml:space="preserve">Repository: </w:t>
      </w:r>
      <w:r>
        <w:rPr>
          <w:rFonts w:ascii="Calibri" w:hAnsi="Calibri"/>
          <w:color w:val="19212D"/>
          <w:sz w:val="22"/>
        </w:rPr>
        <w:t>alexNGMI/freecertprep</w:t>
      </w:r>
    </w:p>
    <w:p>
      <w:pPr>
        <w:spacing w:after="40"/>
      </w:pPr>
      <w:r>
        <w:rPr>
          <w:rFonts w:ascii="Calibri" w:hAnsi="Calibri"/>
          <w:b/>
          <w:color w:val="19212D"/>
          <w:sz w:val="22"/>
        </w:rPr>
        <w:t xml:space="preserve">Status: </w:t>
      </w:r>
      <w:r>
        <w:rPr>
          <w:rFonts w:ascii="Calibri" w:hAnsi="Calibri"/>
          <w:color w:val="19212D"/>
          <w:sz w:val="22"/>
        </w:rPr>
        <w:t>Decision and prioritization review</w:t>
      </w:r>
    </w:p>
    <w:p>
      <w:pPr>
        <w:spacing w:before="200" w:after="320"/>
        <w:pBdr>
          <w:bottom w:val="single" w:sz="12" w:space="1" w:color="2E74B5"/>
        </w:pBdr>
      </w:pPr>
    </w:p>
    <w:p>
      <w:pPr>
        <w:spacing w:after="120"/>
      </w:pPr>
      <w:r>
        <w:rPr>
          <w:rFonts w:ascii="Calibri" w:hAnsi="Calibri"/>
          <w:b/>
          <w:color w:val="2E74B5"/>
          <w:sz w:val="24"/>
        </w:rPr>
        <w:t>Recommendation</w:t>
      </w:r>
    </w:p>
    <w:p>
      <w:pPr>
        <w:spacing w:after="0"/>
      </w:pPr>
      <w:r>
        <w:rPr>
          <w:rFonts w:ascii="Calibri" w:hAnsi="Calibri"/>
          <w:color w:val="19212D"/>
          <w:sz w:val="24"/>
        </w:rPr>
        <w:t>Pause major catalog expansion. Clear security and trust debt, harden the weakest live banks, establish measurable user signals, and only then choose the next sister-site or backend investment.</w:t>
      </w:r>
    </w:p>
    <w:p>
      <w:r>
        <w:br w:type="page"/>
      </w:r>
    </w:p>
    <w:p>
      <w:r>
        <w:rPr>
          <w:rFonts w:ascii="Calibri" w:hAnsi="Calibri"/>
          <w:color w:val="19212D"/>
          <w:sz w:val="22"/>
        </w:rPr>
        <w:t xml:space="preserve">Date: June 8, 2026 Scope: Product, catalog, content quality, technology, operations, roadmap, risk, and strategic options Repository reviewed: </w:t>
      </w:r>
      <w:r>
        <w:rPr>
          <w:rFonts w:ascii="Consolas" w:hAnsi="Consolas"/>
          <w:color w:val="1F4D78"/>
          <w:sz w:val="21"/>
        </w:rPr>
        <w:t>alexNGMI/freecertprep</w:t>
      </w:r>
      <w:r>
        <w:rPr>
          <w:rFonts w:ascii="Calibri" w:hAnsi="Calibri"/>
          <w:color w:val="19212D"/>
          <w:sz w:val="22"/>
        </w:rPr>
        <w:t xml:space="preserve"> Prepared from the current workspace and Git history through commit </w:t>
      </w:r>
      <w:r>
        <w:rPr>
          <w:rFonts w:ascii="Consolas" w:hAnsi="Consolas"/>
          <w:color w:val="1F4D78"/>
          <w:sz w:val="21"/>
        </w:rPr>
        <w:t>2a46a8e</w:t>
      </w:r>
    </w:p>
    <w:p>
      <w:pPr>
        <w:pStyle w:val="Heading1"/>
      </w:pPr>
      <w:r>
        <w:t>Executive Summary</w:t>
      </w:r>
    </w:p>
    <w:p>
      <w:r>
        <w:rPr>
          <w:rFonts w:ascii="Calibri" w:hAnsi="Calibri"/>
          <w:color w:val="19212D"/>
          <w:sz w:val="22"/>
        </w:rPr>
        <w:t>freecertprep has moved beyond an early prototype. It is now a functioning, reusable exam-preparation platform with:</w:t>
      </w:r>
    </w:p>
    <w:p>
      <w:pPr>
        <w:pStyle w:val="ListBullet"/>
      </w:pPr>
      <w:r>
        <w:rPr>
          <w:rFonts w:ascii="Calibri" w:hAnsi="Calibri"/>
          <w:color w:val="19212D"/>
          <w:sz w:val="22"/>
        </w:rPr>
        <w:t>17 published IT certifications.</w:t>
      </w:r>
    </w:p>
    <w:p>
      <w:pPr>
        <w:pStyle w:val="ListBullet"/>
      </w:pPr>
      <w:r>
        <w:rPr>
          <w:rFonts w:ascii="Calibri" w:hAnsi="Calibri"/>
          <w:color w:val="19212D"/>
          <w:sz w:val="22"/>
        </w:rPr>
        <w:t>11,629 published IT practice questions.</w:t>
      </w:r>
    </w:p>
    <w:p>
      <w:pPr>
        <w:pStyle w:val="ListBullet"/>
      </w:pPr>
      <w:r>
        <w:rPr>
          <w:rFonts w:ascii="Calibri" w:hAnsi="Calibri"/>
          <w:color w:val="19212D"/>
          <w:sz w:val="22"/>
        </w:rPr>
        <w:t>A separate Real Estate sister experience with a national exam bank and six state-law modules.</w:t>
      </w:r>
    </w:p>
    <w:p>
      <w:pPr>
        <w:pStyle w:val="ListBullet"/>
      </w:pPr>
      <w:r>
        <w:rPr>
          <w:rFonts w:ascii="Calibri" w:hAnsi="Calibri"/>
          <w:color w:val="19212D"/>
          <w:sz w:val="22"/>
        </w:rPr>
        <w:t>3,151 Real Estate questions.</w:t>
      </w:r>
    </w:p>
    <w:p>
      <w:pPr>
        <w:pStyle w:val="ListBullet"/>
      </w:pPr>
      <w:r>
        <w:rPr>
          <w:rFonts w:ascii="Calibri" w:hAnsi="Calibri"/>
          <w:color w:val="19212D"/>
          <w:sz w:val="22"/>
        </w:rPr>
        <w:t>14,780 authored questions across both product surfaces.</w:t>
      </w:r>
    </w:p>
    <w:p>
      <w:pPr>
        <w:pStyle w:val="ListBullet"/>
      </w:pPr>
      <w:r>
        <w:rPr>
          <w:rFonts w:ascii="Calibri" w:hAnsi="Calibri"/>
          <w:color w:val="19212D"/>
          <w:sz w:val="22"/>
        </w:rPr>
        <w:t>Smart Practice, timed drills, full exam simulation, bookmarks, results review, progress tracking, import/export, and multiple advanced question types.</w:t>
      </w:r>
    </w:p>
    <w:p>
      <w:pPr>
        <w:pStyle w:val="ListBullet"/>
      </w:pPr>
      <w:r>
        <w:rPr>
          <w:rFonts w:ascii="Calibri" w:hAnsi="Calibri"/>
          <w:color w:val="19212D"/>
          <w:sz w:val="22"/>
        </w:rPr>
        <w:t>908 passing automated tests across 26 test files.</w:t>
      </w:r>
    </w:p>
    <w:p>
      <w:pPr>
        <w:pStyle w:val="ListBullet"/>
      </w:pPr>
      <w:r>
        <w:rPr>
          <w:rFonts w:ascii="Calibri" w:hAnsi="Calibri"/>
          <w:color w:val="19212D"/>
          <w:sz w:val="22"/>
        </w:rPr>
        <w:t>Automated GitHub Actions checks for lint, tests, and production builds.</w:t>
      </w:r>
    </w:p>
    <w:p>
      <w:r>
        <w:rPr>
          <w:rFonts w:ascii="Calibri" w:hAnsi="Calibri"/>
          <w:color w:val="19212D"/>
          <w:sz w:val="22"/>
        </w:rPr>
        <w:t>The product's strongest asset is not any single certification. It is the reusable exam engine and content architecture that can support multiple career-prep verticals without rebuilding the core product.</w:t>
      </w:r>
    </w:p>
    <w:p>
      <w:r>
        <w:rPr>
          <w:rFonts w:ascii="Calibri" w:hAnsi="Calibri"/>
          <w:color w:val="19212D"/>
          <w:sz w:val="22"/>
        </w:rPr>
        <w:t>The central strategic issue has changed. The project no longer needs to prove that it can add certifications quickly. It now needs to prove that it can maintain quality, earn trust, measure usage, and operate a growing catalog responsibly.</w:t>
      </w:r>
    </w:p>
    <w:p>
      <w:r>
        <w:rPr>
          <w:rFonts w:ascii="Calibri" w:hAnsi="Calibri"/>
          <w:color w:val="19212D"/>
          <w:sz w:val="22"/>
        </w:rPr>
        <w:t>The recommended next phase is therefore:</w:t>
      </w:r>
    </w:p>
    <w:p>
      <w:pPr>
        <w:pStyle w:val="ListNumber"/>
      </w:pPr>
      <w:r>
        <w:rPr>
          <w:rFonts w:ascii="Calibri" w:hAnsi="Calibri"/>
          <w:color w:val="19212D"/>
          <w:sz w:val="22"/>
        </w:rPr>
        <w:t>Resolve immediate release and security issues.</w:t>
      </w:r>
    </w:p>
    <w:p>
      <w:pPr>
        <w:pStyle w:val="ListNumber"/>
      </w:pPr>
      <w:r>
        <w:rPr>
          <w:rFonts w:ascii="Calibri" w:hAnsi="Calibri"/>
          <w:color w:val="19212D"/>
          <w:sz w:val="22"/>
        </w:rPr>
        <w:t>Establish a content trust and provenance system.</w:t>
      </w:r>
    </w:p>
    <w:p>
      <w:pPr>
        <w:pStyle w:val="ListNumber"/>
      </w:pPr>
      <w:r>
        <w:rPr>
          <w:rFonts w:ascii="Calibri" w:hAnsi="Calibri"/>
          <w:color w:val="19212D"/>
          <w:sz w:val="22"/>
        </w:rPr>
        <w:t>Rewrite the weakest live question banks before adding more large banks.</w:t>
      </w:r>
    </w:p>
    <w:p>
      <w:pPr>
        <w:pStyle w:val="ListNumber"/>
      </w:pPr>
      <w:r>
        <w:rPr>
          <w:rFonts w:ascii="Calibri" w:hAnsi="Calibri"/>
          <w:color w:val="19212D"/>
          <w:sz w:val="22"/>
        </w:rPr>
        <w:t>Add privacy-respecting product analytics and error monitoring.</w:t>
      </w:r>
    </w:p>
    <w:p>
      <w:pPr>
        <w:pStyle w:val="ListNumber"/>
      </w:pPr>
      <w:r>
        <w:rPr>
          <w:rFonts w:ascii="Calibri" w:hAnsi="Calibri"/>
          <w:color w:val="19212D"/>
          <w:sz w:val="22"/>
        </w:rPr>
        <w:t>Introduce optional account sync only after the trust and storage model is defined.</w:t>
      </w:r>
    </w:p>
    <w:p>
      <w:pPr>
        <w:pStyle w:val="ListNumber"/>
      </w:pPr>
      <w:r>
        <w:rPr>
          <w:rFonts w:ascii="Calibri" w:hAnsi="Calibri"/>
          <w:color w:val="19212D"/>
          <w:sz w:val="22"/>
        </w:rPr>
        <w:t>Defer CDL and NCLEX sister sites until expansion gates are met.</w:t>
      </w:r>
    </w:p>
    <w:p>
      <w:pPr>
        <w:pStyle w:val="Heading1"/>
      </w:pPr>
      <w:r>
        <w:t>Board-Level Status</w:t>
      </w:r>
    </w:p>
    <w:tbl>
      <w:tblPr>
        <w:tblStyle w:val="TableGrid"/>
        <w:tblW w:type="dxa" w:w="9360"/>
        <w:jc w:val="left"/>
        <w:tblLayout w:type="fixed"/>
        <w:tblLook w:firstColumn="1" w:firstRow="1" w:lastColumn="0" w:lastRow="0" w:noHBand="0" w:noVBand="1" w:val="04A0"/>
        <w:tblInd w:w="120" w:type="dxa"/>
      </w:tblPr>
      <w:tblGrid>
        <w:gridCol w:w="2500"/>
        <w:gridCol w:w="1800"/>
        <w:gridCol w:w="5060"/>
      </w:tblGrid>
      <w:tr>
        <w:trPr>
          <w:tblHeader w:val="true"/>
        </w:trPr>
        <w:tc>
          <w:tcPr>
            <w:tcW w:type="dxa" w:w="2500"/>
            <w:shd w:fill="F2F4F7"/>
            <w:vAlign w:val="center"/>
            <w:tcMar>
              <w:top w:w="80" w:type="dxa"/>
              <w:bottom w:w="80" w:type="dxa"/>
              <w:start w:w="120" w:type="dxa"/>
              <w:end w:w="120" w:type="dxa"/>
            </w:tcMar>
          </w:tcPr>
          <w:p>
            <w:pPr>
              <w:spacing w:after="0" w:line="240" w:lineRule="auto"/>
            </w:pPr>
            <w:r>
              <w:rPr>
                <w:b/>
                <w:color w:val="1F4D78"/>
              </w:rPr>
            </w:r>
            <w:r>
              <w:rPr>
                <w:rFonts w:ascii="Calibri" w:hAnsi="Calibri"/>
                <w:b/>
                <w:color w:val="1F4D78"/>
                <w:sz w:val="20"/>
              </w:rPr>
              <w:t>Area</w:t>
            </w:r>
          </w:p>
        </w:tc>
        <w:tc>
          <w:tcPr>
            <w:tcW w:type="dxa" w:w="1800"/>
            <w:shd w:fill="F2F4F7"/>
            <w:vAlign w:val="center"/>
            <w:tcMar>
              <w:top w:w="80" w:type="dxa"/>
              <w:bottom w:w="80" w:type="dxa"/>
              <w:start w:w="120" w:type="dxa"/>
              <w:end w:w="120" w:type="dxa"/>
            </w:tcMar>
          </w:tcPr>
          <w:p>
            <w:pPr>
              <w:spacing w:after="0" w:line="240" w:lineRule="auto"/>
            </w:pPr>
            <w:r>
              <w:rPr>
                <w:b/>
                <w:color w:val="1F4D78"/>
              </w:rPr>
            </w:r>
            <w:r>
              <w:rPr>
                <w:rFonts w:ascii="Calibri" w:hAnsi="Calibri"/>
                <w:b/>
                <w:color w:val="1F4D78"/>
                <w:sz w:val="20"/>
              </w:rPr>
              <w:t>Status</w:t>
            </w:r>
          </w:p>
        </w:tc>
        <w:tc>
          <w:tcPr>
            <w:tcW w:type="dxa" w:w="5060"/>
            <w:shd w:fill="F2F4F7"/>
            <w:vAlign w:val="center"/>
            <w:tcMar>
              <w:top w:w="80" w:type="dxa"/>
              <w:bottom w:w="80" w:type="dxa"/>
              <w:start w:w="120" w:type="dxa"/>
              <w:end w:w="120" w:type="dxa"/>
            </w:tcMar>
          </w:tcPr>
          <w:p>
            <w:pPr>
              <w:spacing w:after="0" w:line="240" w:lineRule="auto"/>
            </w:pPr>
            <w:r>
              <w:rPr>
                <w:b/>
                <w:color w:val="1F4D78"/>
              </w:rPr>
            </w:r>
            <w:r>
              <w:rPr>
                <w:rFonts w:ascii="Calibri" w:hAnsi="Calibri"/>
                <w:b/>
                <w:color w:val="1F4D78"/>
                <w:sz w:val="20"/>
              </w:rPr>
              <w:t>Assessment</w:t>
            </w:r>
          </w:p>
        </w:tc>
      </w:tr>
      <w:tr>
        <w:tc>
          <w:tcPr>
            <w:tcW w:type="dxa" w:w="2500"/>
            <w:vAlign w:val="center"/>
            <w:tcMar>
              <w:top w:w="80" w:type="dxa"/>
              <w:bottom w:w="80" w:type="dxa"/>
              <w:start w:w="120" w:type="dxa"/>
              <w:end w:w="120" w:type="dxa"/>
            </w:tcMar>
          </w:tcPr>
          <w:p>
            <w:pPr>
              <w:spacing w:after="0" w:line="240" w:lineRule="auto"/>
            </w:pPr>
            <w:r/>
            <w:r>
              <w:rPr>
                <w:rFonts w:ascii="Calibri" w:hAnsi="Calibri"/>
                <w:color w:val="19212D"/>
                <w:sz w:val="20"/>
              </w:rPr>
              <w:t>Product functionality</w:t>
            </w:r>
          </w:p>
        </w:tc>
        <w:tc>
          <w:tcPr>
            <w:tcW w:type="dxa" w:w="1800"/>
            <w:vAlign w:val="center"/>
            <w:tcMar>
              <w:top w:w="80" w:type="dxa"/>
              <w:bottom w:w="80" w:type="dxa"/>
              <w:start w:w="120" w:type="dxa"/>
              <w:end w:w="120" w:type="dxa"/>
            </w:tcMar>
          </w:tcPr>
          <w:p>
            <w:pPr>
              <w:spacing w:after="0" w:line="240" w:lineRule="auto"/>
            </w:pPr>
            <w:r/>
            <w:r>
              <w:rPr>
                <w:rFonts w:ascii="Calibri" w:hAnsi="Calibri"/>
                <w:color w:val="19212D"/>
                <w:sz w:val="20"/>
              </w:rPr>
              <w:t>Green</w:t>
            </w:r>
          </w:p>
        </w:tc>
        <w:tc>
          <w:tcPr>
            <w:tcW w:type="dxa" w:w="5060"/>
            <w:vAlign w:val="center"/>
            <w:tcMar>
              <w:top w:w="80" w:type="dxa"/>
              <w:bottom w:w="80" w:type="dxa"/>
              <w:start w:w="120" w:type="dxa"/>
              <w:end w:w="120" w:type="dxa"/>
            </w:tcMar>
          </w:tcPr>
          <w:p>
            <w:pPr>
              <w:spacing w:after="0" w:line="240" w:lineRule="auto"/>
            </w:pPr>
            <w:r/>
            <w:r>
              <w:rPr>
                <w:rFonts w:ascii="Calibri" w:hAnsi="Calibri"/>
                <w:color w:val="19212D"/>
                <w:sz w:val="20"/>
              </w:rPr>
              <w:t>Core study workflows are complete and tested.</w:t>
            </w:r>
          </w:p>
        </w:tc>
      </w:tr>
      <w:tr>
        <w:tc>
          <w:tcPr>
            <w:tcW w:type="dxa" w:w="2500"/>
            <w:shd w:fill="FAFBFC"/>
            <w:vAlign w:val="center"/>
            <w:tcMar>
              <w:top w:w="80" w:type="dxa"/>
              <w:bottom w:w="80" w:type="dxa"/>
              <w:start w:w="120" w:type="dxa"/>
              <w:end w:w="120" w:type="dxa"/>
            </w:tcMar>
          </w:tcPr>
          <w:p>
            <w:pPr>
              <w:spacing w:after="0" w:line="240" w:lineRule="auto"/>
            </w:pPr>
            <w:r/>
            <w:r>
              <w:rPr>
                <w:rFonts w:ascii="Calibri" w:hAnsi="Calibri"/>
                <w:color w:val="19212D"/>
                <w:sz w:val="20"/>
              </w:rPr>
              <w:t>Catalog breadth</w:t>
            </w:r>
          </w:p>
        </w:tc>
        <w:tc>
          <w:tcPr>
            <w:tcW w:type="dxa" w:w="1800"/>
            <w:shd w:fill="FAFBFC"/>
            <w:vAlign w:val="center"/>
            <w:tcMar>
              <w:top w:w="80" w:type="dxa"/>
              <w:bottom w:w="80" w:type="dxa"/>
              <w:start w:w="120" w:type="dxa"/>
              <w:end w:w="120" w:type="dxa"/>
            </w:tcMar>
          </w:tcPr>
          <w:p>
            <w:pPr>
              <w:spacing w:after="0" w:line="240" w:lineRule="auto"/>
            </w:pPr>
            <w:r/>
            <w:r>
              <w:rPr>
                <w:rFonts w:ascii="Calibri" w:hAnsi="Calibri"/>
                <w:color w:val="19212D"/>
                <w:sz w:val="20"/>
              </w:rPr>
              <w:t>Green</w:t>
            </w:r>
          </w:p>
        </w:tc>
        <w:tc>
          <w:tcPr>
            <w:tcW w:type="dxa" w:w="5060"/>
            <w:shd w:fill="FAFBFC"/>
            <w:vAlign w:val="center"/>
            <w:tcMar>
              <w:top w:w="80" w:type="dxa"/>
              <w:bottom w:w="80" w:type="dxa"/>
              <w:start w:w="120" w:type="dxa"/>
              <w:end w:w="120" w:type="dxa"/>
            </w:tcMar>
          </w:tcPr>
          <w:p>
            <w:pPr>
              <w:spacing w:after="0" w:line="240" w:lineRule="auto"/>
            </w:pPr>
            <w:r/>
            <w:r>
              <w:rPr>
                <w:rFonts w:ascii="Calibri" w:hAnsi="Calibri"/>
                <w:color w:val="19212D"/>
                <w:sz w:val="20"/>
              </w:rPr>
              <w:t>Broad enough to support meaningful user acquisition.</w:t>
            </w:r>
          </w:p>
        </w:tc>
      </w:tr>
      <w:tr>
        <w:tc>
          <w:tcPr>
            <w:tcW w:type="dxa" w:w="2500"/>
            <w:vAlign w:val="center"/>
            <w:tcMar>
              <w:top w:w="80" w:type="dxa"/>
              <w:bottom w:w="80" w:type="dxa"/>
              <w:start w:w="120" w:type="dxa"/>
              <w:end w:w="120" w:type="dxa"/>
            </w:tcMar>
          </w:tcPr>
          <w:p>
            <w:pPr>
              <w:spacing w:after="0" w:line="240" w:lineRule="auto"/>
            </w:pPr>
            <w:r/>
            <w:r>
              <w:rPr>
                <w:rFonts w:ascii="Calibri" w:hAnsi="Calibri"/>
                <w:color w:val="19212D"/>
                <w:sz w:val="20"/>
              </w:rPr>
              <w:t>Technical architecture</w:t>
            </w:r>
          </w:p>
        </w:tc>
        <w:tc>
          <w:tcPr>
            <w:tcW w:type="dxa" w:w="1800"/>
            <w:vAlign w:val="center"/>
            <w:tcMar>
              <w:top w:w="80" w:type="dxa"/>
              <w:bottom w:w="80" w:type="dxa"/>
              <w:start w:w="120" w:type="dxa"/>
              <w:end w:w="120" w:type="dxa"/>
            </w:tcMar>
          </w:tcPr>
          <w:p>
            <w:pPr>
              <w:spacing w:after="0" w:line="240" w:lineRule="auto"/>
            </w:pPr>
            <w:r/>
            <w:r>
              <w:rPr>
                <w:rFonts w:ascii="Calibri" w:hAnsi="Calibri"/>
                <w:color w:val="19212D"/>
                <w:sz w:val="20"/>
              </w:rPr>
              <w:t>Green/Amber</w:t>
            </w:r>
          </w:p>
        </w:tc>
        <w:tc>
          <w:tcPr>
            <w:tcW w:type="dxa" w:w="5060"/>
            <w:vAlign w:val="center"/>
            <w:tcMar>
              <w:top w:w="80" w:type="dxa"/>
              <w:bottom w:w="80" w:type="dxa"/>
              <w:start w:w="120" w:type="dxa"/>
              <w:end w:w="120" w:type="dxa"/>
            </w:tcMar>
          </w:tcPr>
          <w:p>
            <w:pPr>
              <w:spacing w:after="0" w:line="240" w:lineRule="auto"/>
            </w:pPr>
            <w:r/>
            <w:r>
              <w:rPr>
                <w:rFonts w:ascii="Calibri" w:hAnsi="Calibri"/>
                <w:color w:val="19212D"/>
                <w:sz w:val="20"/>
              </w:rPr>
              <w:t>Clean reusable engine, but still a client-only SPA with limited operations tooling.</w:t>
            </w:r>
          </w:p>
        </w:tc>
      </w:tr>
      <w:tr>
        <w:tc>
          <w:tcPr>
            <w:tcW w:type="dxa" w:w="2500"/>
            <w:shd w:fill="FAFBFC"/>
            <w:vAlign w:val="center"/>
            <w:tcMar>
              <w:top w:w="80" w:type="dxa"/>
              <w:bottom w:w="80" w:type="dxa"/>
              <w:start w:w="120" w:type="dxa"/>
              <w:end w:w="120" w:type="dxa"/>
            </w:tcMar>
          </w:tcPr>
          <w:p>
            <w:pPr>
              <w:spacing w:after="0" w:line="240" w:lineRule="auto"/>
            </w:pPr>
            <w:r/>
            <w:r>
              <w:rPr>
                <w:rFonts w:ascii="Calibri" w:hAnsi="Calibri"/>
                <w:color w:val="19212D"/>
                <w:sz w:val="20"/>
              </w:rPr>
              <w:t>Content structure</w:t>
            </w:r>
          </w:p>
        </w:tc>
        <w:tc>
          <w:tcPr>
            <w:tcW w:type="dxa" w:w="1800"/>
            <w:shd w:fill="FAFBFC"/>
            <w:vAlign w:val="center"/>
            <w:tcMar>
              <w:top w:w="80" w:type="dxa"/>
              <w:bottom w:w="80" w:type="dxa"/>
              <w:start w:w="120" w:type="dxa"/>
              <w:end w:w="120" w:type="dxa"/>
            </w:tcMar>
          </w:tcPr>
          <w:p>
            <w:pPr>
              <w:spacing w:after="0" w:line="240" w:lineRule="auto"/>
            </w:pPr>
            <w:r/>
            <w:r>
              <w:rPr>
                <w:rFonts w:ascii="Calibri" w:hAnsi="Calibri"/>
                <w:color w:val="19212D"/>
                <w:sz w:val="20"/>
              </w:rPr>
              <w:t>Green</w:t>
            </w:r>
          </w:p>
        </w:tc>
        <w:tc>
          <w:tcPr>
            <w:tcW w:type="dxa" w:w="5060"/>
            <w:shd w:fill="FAFBFC"/>
            <w:vAlign w:val="center"/>
            <w:tcMar>
              <w:top w:w="80" w:type="dxa"/>
              <w:bottom w:w="80" w:type="dxa"/>
              <w:start w:w="120" w:type="dxa"/>
              <w:end w:w="120" w:type="dxa"/>
            </w:tcMar>
          </w:tcPr>
          <w:p>
            <w:pPr>
              <w:spacing w:after="0" w:line="240" w:lineRule="auto"/>
            </w:pPr>
            <w:r/>
            <w:r>
              <w:rPr>
                <w:rFonts w:ascii="Calibri" w:hAnsi="Calibri"/>
                <w:color w:val="19212D"/>
                <w:sz w:val="20"/>
              </w:rPr>
              <w:t>Strong schema, weighting, explanation, and answer-validation gates.</w:t>
            </w:r>
          </w:p>
        </w:tc>
      </w:tr>
      <w:tr>
        <w:tc>
          <w:tcPr>
            <w:tcW w:type="dxa" w:w="2500"/>
            <w:vAlign w:val="center"/>
            <w:tcMar>
              <w:top w:w="80" w:type="dxa"/>
              <w:bottom w:w="80" w:type="dxa"/>
              <w:start w:w="120" w:type="dxa"/>
              <w:end w:w="120" w:type="dxa"/>
            </w:tcMar>
          </w:tcPr>
          <w:p>
            <w:pPr>
              <w:spacing w:after="0" w:line="240" w:lineRule="auto"/>
            </w:pPr>
            <w:r/>
            <w:r>
              <w:rPr>
                <w:rFonts w:ascii="Calibri" w:hAnsi="Calibri"/>
                <w:color w:val="19212D"/>
                <w:sz w:val="20"/>
              </w:rPr>
              <w:t>Editorial consistency</w:t>
            </w:r>
          </w:p>
        </w:tc>
        <w:tc>
          <w:tcPr>
            <w:tcW w:type="dxa" w:w="1800"/>
            <w:vAlign w:val="center"/>
            <w:tcMar>
              <w:top w:w="80" w:type="dxa"/>
              <w:bottom w:w="80" w:type="dxa"/>
              <w:start w:w="120" w:type="dxa"/>
              <w:end w:w="120" w:type="dxa"/>
            </w:tcMar>
          </w:tcPr>
          <w:p>
            <w:pPr>
              <w:spacing w:after="0" w:line="240" w:lineRule="auto"/>
            </w:pPr>
            <w:r/>
            <w:r>
              <w:rPr>
                <w:rFonts w:ascii="Calibri" w:hAnsi="Calibri"/>
                <w:color w:val="19212D"/>
                <w:sz w:val="20"/>
              </w:rPr>
              <w:t>Amber/Red</w:t>
            </w:r>
          </w:p>
        </w:tc>
        <w:tc>
          <w:tcPr>
            <w:tcW w:type="dxa" w:w="5060"/>
            <w:vAlign w:val="center"/>
            <w:tcMar>
              <w:top w:w="80" w:type="dxa"/>
              <w:bottom w:w="80" w:type="dxa"/>
              <w:start w:w="120" w:type="dxa"/>
              <w:end w:w="120" w:type="dxa"/>
            </w:tcMar>
          </w:tcPr>
          <w:p>
            <w:pPr>
              <w:spacing w:after="0" w:line="240" w:lineRule="auto"/>
            </w:pPr>
            <w:r/>
            <w:r>
              <w:rPr>
                <w:rFonts w:ascii="Calibri" w:hAnsi="Calibri"/>
                <w:color w:val="19212D"/>
                <w:sz w:val="20"/>
              </w:rPr>
              <w:t>Several recently generated banks remain visibly templated.</w:t>
            </w:r>
          </w:p>
        </w:tc>
      </w:tr>
      <w:tr>
        <w:tc>
          <w:tcPr>
            <w:tcW w:type="dxa" w:w="2500"/>
            <w:shd w:fill="FAFBFC"/>
            <w:vAlign w:val="center"/>
            <w:tcMar>
              <w:top w:w="80" w:type="dxa"/>
              <w:bottom w:w="80" w:type="dxa"/>
              <w:start w:w="120" w:type="dxa"/>
              <w:end w:w="120" w:type="dxa"/>
            </w:tcMar>
          </w:tcPr>
          <w:p>
            <w:pPr>
              <w:spacing w:after="0" w:line="240" w:lineRule="auto"/>
            </w:pPr>
            <w:r/>
            <w:r>
              <w:rPr>
                <w:rFonts w:ascii="Calibri" w:hAnsi="Calibri"/>
                <w:color w:val="19212D"/>
                <w:sz w:val="20"/>
              </w:rPr>
              <w:t>Trust and provenance</w:t>
            </w:r>
          </w:p>
        </w:tc>
        <w:tc>
          <w:tcPr>
            <w:tcW w:type="dxa" w:w="1800"/>
            <w:shd w:fill="FAFBFC"/>
            <w:vAlign w:val="center"/>
            <w:tcMar>
              <w:top w:w="80" w:type="dxa"/>
              <w:bottom w:w="80" w:type="dxa"/>
              <w:start w:w="120" w:type="dxa"/>
              <w:end w:w="120" w:type="dxa"/>
            </w:tcMar>
          </w:tcPr>
          <w:p>
            <w:pPr>
              <w:spacing w:after="0" w:line="240" w:lineRule="auto"/>
            </w:pPr>
            <w:r/>
            <w:r>
              <w:rPr>
                <w:rFonts w:ascii="Calibri" w:hAnsi="Calibri"/>
                <w:color w:val="19212D"/>
                <w:sz w:val="20"/>
              </w:rPr>
              <w:t>Red</w:t>
            </w:r>
          </w:p>
        </w:tc>
        <w:tc>
          <w:tcPr>
            <w:tcW w:type="dxa" w:w="5060"/>
            <w:shd w:fill="FAFBFC"/>
            <w:vAlign w:val="center"/>
            <w:tcMar>
              <w:top w:w="80" w:type="dxa"/>
              <w:bottom w:w="80" w:type="dxa"/>
              <w:start w:w="120" w:type="dxa"/>
              <w:end w:w="120" w:type="dxa"/>
            </w:tcMar>
          </w:tcPr>
          <w:p>
            <w:pPr>
              <w:spacing w:after="0" w:line="240" w:lineRule="auto"/>
            </w:pPr>
            <w:r/>
            <w:r>
              <w:rPr>
                <w:rFonts w:ascii="Calibri" w:hAnsi="Calibri"/>
                <w:color w:val="19212D"/>
                <w:sz w:val="20"/>
              </w:rPr>
              <w:t>No public issue reporting, review history, source ledger, or correction workflow.</w:t>
            </w:r>
          </w:p>
        </w:tc>
      </w:tr>
      <w:tr>
        <w:tc>
          <w:tcPr>
            <w:tcW w:type="dxa" w:w="2500"/>
            <w:vAlign w:val="center"/>
            <w:tcMar>
              <w:top w:w="80" w:type="dxa"/>
              <w:bottom w:w="80" w:type="dxa"/>
              <w:start w:w="120" w:type="dxa"/>
              <w:end w:w="120" w:type="dxa"/>
            </w:tcMar>
          </w:tcPr>
          <w:p>
            <w:pPr>
              <w:spacing w:after="0" w:line="240" w:lineRule="auto"/>
            </w:pPr>
            <w:r/>
            <w:r>
              <w:rPr>
                <w:rFonts w:ascii="Calibri" w:hAnsi="Calibri"/>
                <w:color w:val="19212D"/>
                <w:sz w:val="20"/>
              </w:rPr>
              <w:t>Security maintenance</w:t>
            </w:r>
          </w:p>
        </w:tc>
        <w:tc>
          <w:tcPr>
            <w:tcW w:type="dxa" w:w="1800"/>
            <w:vAlign w:val="center"/>
            <w:tcMar>
              <w:top w:w="80" w:type="dxa"/>
              <w:bottom w:w="80" w:type="dxa"/>
              <w:start w:w="120" w:type="dxa"/>
              <w:end w:w="120" w:type="dxa"/>
            </w:tcMar>
          </w:tcPr>
          <w:p>
            <w:pPr>
              <w:spacing w:after="0" w:line="240" w:lineRule="auto"/>
            </w:pPr>
            <w:r/>
            <w:r>
              <w:rPr>
                <w:rFonts w:ascii="Calibri" w:hAnsi="Calibri"/>
                <w:color w:val="19212D"/>
                <w:sz w:val="20"/>
              </w:rPr>
              <w:t>Red</w:t>
            </w:r>
          </w:p>
        </w:tc>
        <w:tc>
          <w:tcPr>
            <w:tcW w:type="dxa" w:w="5060"/>
            <w:vAlign w:val="center"/>
            <w:tcMar>
              <w:top w:w="80" w:type="dxa"/>
              <w:bottom w:w="80" w:type="dxa"/>
              <w:start w:w="120" w:type="dxa"/>
              <w:end w:w="120" w:type="dxa"/>
            </w:tcMar>
          </w:tcPr>
          <w:p>
            <w:pPr>
              <w:spacing w:after="0" w:line="240" w:lineRule="auto"/>
            </w:pPr>
            <w:r/>
            <w:r>
              <w:rPr>
                <w:rFonts w:ascii="Calibri" w:hAnsi="Calibri"/>
                <w:color w:val="19212D"/>
                <w:sz w:val="20"/>
              </w:rPr>
              <w:t>Current dependency audit reports fixable high-severity React Router advisories.</w:t>
            </w:r>
          </w:p>
        </w:tc>
      </w:tr>
      <w:tr>
        <w:tc>
          <w:tcPr>
            <w:tcW w:type="dxa" w:w="2500"/>
            <w:shd w:fill="FAFBFC"/>
            <w:vAlign w:val="center"/>
            <w:tcMar>
              <w:top w:w="80" w:type="dxa"/>
              <w:bottom w:w="80" w:type="dxa"/>
              <w:start w:w="120" w:type="dxa"/>
              <w:end w:w="120" w:type="dxa"/>
            </w:tcMar>
          </w:tcPr>
          <w:p>
            <w:pPr>
              <w:spacing w:after="0" w:line="240" w:lineRule="auto"/>
            </w:pPr>
            <w:r/>
            <w:r>
              <w:rPr>
                <w:rFonts w:ascii="Calibri" w:hAnsi="Calibri"/>
                <w:color w:val="19212D"/>
                <w:sz w:val="20"/>
              </w:rPr>
              <w:t>Analytics</w:t>
            </w:r>
          </w:p>
        </w:tc>
        <w:tc>
          <w:tcPr>
            <w:tcW w:type="dxa" w:w="1800"/>
            <w:shd w:fill="FAFBFC"/>
            <w:vAlign w:val="center"/>
            <w:tcMar>
              <w:top w:w="80" w:type="dxa"/>
              <w:bottom w:w="80" w:type="dxa"/>
              <w:start w:w="120" w:type="dxa"/>
              <w:end w:w="120" w:type="dxa"/>
            </w:tcMar>
          </w:tcPr>
          <w:p>
            <w:pPr>
              <w:spacing w:after="0" w:line="240" w:lineRule="auto"/>
            </w:pPr>
            <w:r/>
            <w:r>
              <w:rPr>
                <w:rFonts w:ascii="Calibri" w:hAnsi="Calibri"/>
                <w:color w:val="19212D"/>
                <w:sz w:val="20"/>
              </w:rPr>
              <w:t>Red</w:t>
            </w:r>
          </w:p>
        </w:tc>
        <w:tc>
          <w:tcPr>
            <w:tcW w:type="dxa" w:w="5060"/>
            <w:shd w:fill="FAFBFC"/>
            <w:vAlign w:val="center"/>
            <w:tcMar>
              <w:top w:w="80" w:type="dxa"/>
              <w:bottom w:w="80" w:type="dxa"/>
              <w:start w:w="120" w:type="dxa"/>
              <w:end w:w="120" w:type="dxa"/>
            </w:tcMar>
          </w:tcPr>
          <w:p>
            <w:pPr>
              <w:spacing w:after="0" w:line="240" w:lineRule="auto"/>
            </w:pPr>
            <w:r/>
            <w:r>
              <w:rPr>
                <w:rFonts w:ascii="Calibri" w:hAnsi="Calibri"/>
                <w:color w:val="19212D"/>
                <w:sz w:val="20"/>
              </w:rPr>
              <w:t>No reliable funnel, retention, completion, or learning-outcome measurement.</w:t>
            </w:r>
          </w:p>
        </w:tc>
      </w:tr>
      <w:tr>
        <w:tc>
          <w:tcPr>
            <w:tcW w:type="dxa" w:w="2500"/>
            <w:vAlign w:val="center"/>
            <w:tcMar>
              <w:top w:w="80" w:type="dxa"/>
              <w:bottom w:w="80" w:type="dxa"/>
              <w:start w:w="120" w:type="dxa"/>
              <w:end w:w="120" w:type="dxa"/>
            </w:tcMar>
          </w:tcPr>
          <w:p>
            <w:pPr>
              <w:spacing w:after="0" w:line="240" w:lineRule="auto"/>
            </w:pPr>
            <w:r/>
            <w:r>
              <w:rPr>
                <w:rFonts w:ascii="Calibri" w:hAnsi="Calibri"/>
                <w:color w:val="19212D"/>
                <w:sz w:val="20"/>
              </w:rPr>
              <w:t>Privacy/legal readiness</w:t>
            </w:r>
          </w:p>
        </w:tc>
        <w:tc>
          <w:tcPr>
            <w:tcW w:type="dxa" w:w="1800"/>
            <w:vAlign w:val="center"/>
            <w:tcMar>
              <w:top w:w="80" w:type="dxa"/>
              <w:bottom w:w="80" w:type="dxa"/>
              <w:start w:w="120" w:type="dxa"/>
              <w:end w:w="120" w:type="dxa"/>
            </w:tcMar>
          </w:tcPr>
          <w:p>
            <w:pPr>
              <w:spacing w:after="0" w:line="240" w:lineRule="auto"/>
            </w:pPr>
            <w:r/>
            <w:r>
              <w:rPr>
                <w:rFonts w:ascii="Calibri" w:hAnsi="Calibri"/>
                <w:color w:val="19212D"/>
                <w:sz w:val="20"/>
              </w:rPr>
              <w:t>Amber/Red</w:t>
            </w:r>
          </w:p>
        </w:tc>
        <w:tc>
          <w:tcPr>
            <w:tcW w:type="dxa" w:w="5060"/>
            <w:vAlign w:val="center"/>
            <w:tcMar>
              <w:top w:w="80" w:type="dxa"/>
              <w:bottom w:w="80" w:type="dxa"/>
              <w:start w:w="120" w:type="dxa"/>
              <w:end w:w="120" w:type="dxa"/>
            </w:tcMar>
          </w:tcPr>
          <w:p>
            <w:pPr>
              <w:spacing w:after="0" w:line="240" w:lineRule="auto"/>
            </w:pPr>
            <w:r/>
            <w:r>
              <w:rPr>
                <w:rFonts w:ascii="Calibri" w:hAnsi="Calibri"/>
                <w:color w:val="19212D"/>
                <w:sz w:val="20"/>
              </w:rPr>
              <w:t>Privacy wording, third-party requests, licensing, disclaimers, and trademarks need review.</w:t>
            </w:r>
          </w:p>
        </w:tc>
      </w:tr>
      <w:tr>
        <w:tc>
          <w:tcPr>
            <w:tcW w:type="dxa" w:w="2500"/>
            <w:shd w:fill="FAFBFC"/>
            <w:vAlign w:val="center"/>
            <w:tcMar>
              <w:top w:w="80" w:type="dxa"/>
              <w:bottom w:w="80" w:type="dxa"/>
              <w:start w:w="120" w:type="dxa"/>
              <w:end w:w="120" w:type="dxa"/>
            </w:tcMar>
          </w:tcPr>
          <w:p>
            <w:pPr>
              <w:spacing w:after="0" w:line="240" w:lineRule="auto"/>
            </w:pPr>
            <w:r/>
            <w:r>
              <w:rPr>
                <w:rFonts w:ascii="Calibri" w:hAnsi="Calibri"/>
                <w:color w:val="19212D"/>
                <w:sz w:val="20"/>
              </w:rPr>
              <w:t>Monetization</w:t>
            </w:r>
          </w:p>
        </w:tc>
        <w:tc>
          <w:tcPr>
            <w:tcW w:type="dxa" w:w="1800"/>
            <w:shd w:fill="FAFBFC"/>
            <w:vAlign w:val="center"/>
            <w:tcMar>
              <w:top w:w="80" w:type="dxa"/>
              <w:bottom w:w="80" w:type="dxa"/>
              <w:start w:w="120" w:type="dxa"/>
              <w:end w:w="120" w:type="dxa"/>
            </w:tcMar>
          </w:tcPr>
          <w:p>
            <w:pPr>
              <w:spacing w:after="0" w:line="240" w:lineRule="auto"/>
            </w:pPr>
            <w:r/>
            <w:r>
              <w:rPr>
                <w:rFonts w:ascii="Calibri" w:hAnsi="Calibri"/>
                <w:color w:val="19212D"/>
                <w:sz w:val="20"/>
              </w:rPr>
              <w:t>Unset</w:t>
            </w:r>
          </w:p>
        </w:tc>
        <w:tc>
          <w:tcPr>
            <w:tcW w:type="dxa" w:w="5060"/>
            <w:shd w:fill="FAFBFC"/>
            <w:vAlign w:val="center"/>
            <w:tcMar>
              <w:top w:w="80" w:type="dxa"/>
              <w:bottom w:w="80" w:type="dxa"/>
              <w:start w:w="120" w:type="dxa"/>
              <w:end w:w="120" w:type="dxa"/>
            </w:tcMar>
          </w:tcPr>
          <w:p>
            <w:pPr>
              <w:spacing w:after="0" w:line="240" w:lineRule="auto"/>
            </w:pPr>
            <w:r/>
            <w:r>
              <w:rPr>
                <w:rFonts w:ascii="Calibri" w:hAnsi="Calibri"/>
                <w:color w:val="19212D"/>
                <w:sz w:val="20"/>
              </w:rPr>
              <w:t>No current revenue model; this is acceptable during product validation.</w:t>
            </w:r>
          </w:p>
        </w:tc>
      </w:tr>
      <w:tr>
        <w:tc>
          <w:tcPr>
            <w:tcW w:type="dxa" w:w="2500"/>
            <w:vAlign w:val="center"/>
            <w:tcMar>
              <w:top w:w="80" w:type="dxa"/>
              <w:bottom w:w="80" w:type="dxa"/>
              <w:start w:w="120" w:type="dxa"/>
              <w:end w:w="120" w:type="dxa"/>
            </w:tcMar>
          </w:tcPr>
          <w:p>
            <w:pPr>
              <w:spacing w:after="0" w:line="240" w:lineRule="auto"/>
            </w:pPr>
            <w:r/>
            <w:r>
              <w:rPr>
                <w:rFonts w:ascii="Calibri" w:hAnsi="Calibri"/>
                <w:color w:val="19212D"/>
                <w:sz w:val="20"/>
              </w:rPr>
              <w:t>Expansion readiness</w:t>
            </w:r>
          </w:p>
        </w:tc>
        <w:tc>
          <w:tcPr>
            <w:tcW w:type="dxa" w:w="1800"/>
            <w:vAlign w:val="center"/>
            <w:tcMar>
              <w:top w:w="80" w:type="dxa"/>
              <w:bottom w:w="80" w:type="dxa"/>
              <w:start w:w="120" w:type="dxa"/>
              <w:end w:w="120" w:type="dxa"/>
            </w:tcMar>
          </w:tcPr>
          <w:p>
            <w:pPr>
              <w:spacing w:after="0" w:line="240" w:lineRule="auto"/>
            </w:pPr>
            <w:r/>
            <w:r>
              <w:rPr>
                <w:rFonts w:ascii="Calibri" w:hAnsi="Calibri"/>
                <w:color w:val="19212D"/>
                <w:sz w:val="20"/>
              </w:rPr>
              <w:t>Amber</w:t>
            </w:r>
          </w:p>
        </w:tc>
        <w:tc>
          <w:tcPr>
            <w:tcW w:type="dxa" w:w="5060"/>
            <w:vAlign w:val="center"/>
            <w:tcMar>
              <w:top w:w="80" w:type="dxa"/>
              <w:bottom w:w="80" w:type="dxa"/>
              <w:start w:w="120" w:type="dxa"/>
              <w:end w:w="120" w:type="dxa"/>
            </w:tcMar>
          </w:tcPr>
          <w:p>
            <w:pPr>
              <w:spacing w:after="0" w:line="240" w:lineRule="auto"/>
            </w:pPr>
            <w:r/>
            <w:r>
              <w:rPr>
                <w:rFonts w:ascii="Calibri" w:hAnsi="Calibri"/>
                <w:color w:val="19212D"/>
                <w:sz w:val="20"/>
              </w:rPr>
              <w:t>Engine is ready, but governance and editorial capacity are not.</w:t>
            </w:r>
          </w:p>
        </w:tc>
      </w:tr>
    </w:tbl>
    <w:p>
      <w:pPr>
        <w:spacing w:after="40"/>
      </w:pPr>
    </w:p>
    <w:p>
      <w:r>
        <w:br w:type="page"/>
      </w:r>
    </w:p>
    <w:p>
      <w:pPr>
        <w:pStyle w:val="Heading1"/>
      </w:pPr>
      <w:r>
        <w:t>Current Product Offering</w:t>
      </w:r>
    </w:p>
    <w:p>
      <w:pPr>
        <w:pStyle w:val="Heading2"/>
      </w:pPr>
      <w:r>
        <w:t>IT Certification Catalog</w:t>
      </w:r>
    </w:p>
    <w:tbl>
      <w:tblPr>
        <w:tblStyle w:val="TableGrid"/>
        <w:tblW w:type="dxa" w:w="9360"/>
        <w:jc w:val="left"/>
        <w:tblLayout w:type="fixed"/>
        <w:tblLook w:firstColumn="1" w:firstRow="1" w:lastColumn="0" w:lastRow="0" w:noHBand="0" w:noVBand="1" w:val="04A0"/>
        <w:tblInd w:w="120" w:type="dxa"/>
      </w:tblPr>
      <w:tblGrid>
        <w:gridCol w:w="2700"/>
        <w:gridCol w:w="1800"/>
        <w:gridCol w:w="1700"/>
        <w:gridCol w:w="3160"/>
      </w:tblGrid>
      <w:tr>
        <w:trPr>
          <w:tblHeader w:val="true"/>
        </w:trPr>
        <w:tc>
          <w:tcPr>
            <w:tcW w:type="dxa" w:w="2700"/>
            <w:shd w:fill="F2F4F7"/>
            <w:vAlign w:val="center"/>
            <w:tcMar>
              <w:top w:w="80" w:type="dxa"/>
              <w:bottom w:w="80" w:type="dxa"/>
              <w:start w:w="120" w:type="dxa"/>
              <w:end w:w="120" w:type="dxa"/>
            </w:tcMar>
          </w:tcPr>
          <w:p>
            <w:pPr>
              <w:spacing w:after="0" w:line="240" w:lineRule="auto"/>
            </w:pPr>
            <w:r>
              <w:rPr>
                <w:b/>
                <w:color w:val="1F4D78"/>
              </w:rPr>
            </w:r>
            <w:r>
              <w:rPr>
                <w:rFonts w:ascii="Calibri" w:hAnsi="Calibri"/>
                <w:b/>
                <w:color w:val="1F4D78"/>
                <w:sz w:val="19"/>
              </w:rPr>
              <w:t>Certification</w:t>
            </w:r>
          </w:p>
        </w:tc>
        <w:tc>
          <w:tcPr>
            <w:tcW w:type="dxa" w:w="1800"/>
            <w:shd w:fill="F2F4F7"/>
            <w:vAlign w:val="center"/>
            <w:tcMar>
              <w:top w:w="80" w:type="dxa"/>
              <w:bottom w:w="80" w:type="dxa"/>
              <w:start w:w="120" w:type="dxa"/>
              <w:end w:w="120" w:type="dxa"/>
            </w:tcMar>
          </w:tcPr>
          <w:p>
            <w:pPr>
              <w:spacing w:after="0" w:line="240" w:lineRule="auto"/>
            </w:pPr>
            <w:r>
              <w:rPr>
                <w:b/>
                <w:color w:val="1F4D78"/>
              </w:rPr>
            </w:r>
            <w:r>
              <w:rPr>
                <w:rFonts w:ascii="Calibri" w:hAnsi="Calibri"/>
                <w:b/>
                <w:color w:val="1F4D78"/>
                <w:sz w:val="19"/>
              </w:rPr>
              <w:t>Provider</w:t>
            </w:r>
          </w:p>
        </w:tc>
        <w:tc>
          <w:tcPr>
            <w:tcW w:type="dxa" w:w="1700"/>
            <w:shd w:fill="F2F4F7"/>
            <w:vAlign w:val="center"/>
            <w:tcMar>
              <w:top w:w="80" w:type="dxa"/>
              <w:bottom w:w="80" w:type="dxa"/>
              <w:start w:w="120" w:type="dxa"/>
              <w:end w:w="120" w:type="dxa"/>
            </w:tcMar>
          </w:tcPr>
          <w:p>
            <w:pPr>
              <w:spacing w:after="0" w:line="240" w:lineRule="auto"/>
            </w:pPr>
            <w:r>
              <w:rPr>
                <w:b/>
                <w:color w:val="1F4D78"/>
              </w:rPr>
            </w:r>
            <w:r>
              <w:rPr>
                <w:rFonts w:ascii="Calibri" w:hAnsi="Calibri"/>
                <w:b/>
                <w:color w:val="1F4D78"/>
                <w:sz w:val="19"/>
              </w:rPr>
              <w:t>Questions</w:t>
            </w:r>
          </w:p>
        </w:tc>
        <w:tc>
          <w:tcPr>
            <w:tcW w:type="dxa" w:w="3160"/>
            <w:shd w:fill="F2F4F7"/>
            <w:vAlign w:val="center"/>
            <w:tcMar>
              <w:top w:w="80" w:type="dxa"/>
              <w:bottom w:w="80" w:type="dxa"/>
              <w:start w:w="120" w:type="dxa"/>
              <w:end w:w="120" w:type="dxa"/>
            </w:tcMar>
          </w:tcPr>
          <w:p>
            <w:pPr>
              <w:spacing w:after="0" w:line="240" w:lineRule="auto"/>
            </w:pPr>
            <w:r>
              <w:rPr>
                <w:b/>
                <w:color w:val="1F4D78"/>
              </w:rPr>
            </w:r>
            <w:r>
              <w:rPr>
                <w:rFonts w:ascii="Calibri" w:hAnsi="Calibri"/>
                <w:b/>
                <w:color w:val="1F4D78"/>
                <w:sz w:val="19"/>
              </w:rPr>
              <w:t>Simulator</w:t>
            </w:r>
          </w:p>
        </w:tc>
      </w:tr>
      <w:tr>
        <w:tc>
          <w:tcPr>
            <w:tcW w:type="dxa" w:w="2700"/>
            <w:vAlign w:val="center"/>
            <w:tcMar>
              <w:top w:w="80" w:type="dxa"/>
              <w:bottom w:w="80" w:type="dxa"/>
              <w:start w:w="120" w:type="dxa"/>
              <w:end w:w="120" w:type="dxa"/>
            </w:tcMar>
          </w:tcPr>
          <w:p>
            <w:pPr>
              <w:spacing w:after="0" w:line="240" w:lineRule="auto"/>
            </w:pPr>
            <w:r/>
            <w:r>
              <w:rPr>
                <w:rFonts w:ascii="Calibri" w:hAnsi="Calibri"/>
                <w:color w:val="19212D"/>
                <w:sz w:val="19"/>
              </w:rPr>
              <w:t>AWS Cloud Practitioner, CLF-C02</w:t>
            </w:r>
          </w:p>
        </w:tc>
        <w:tc>
          <w:tcPr>
            <w:tcW w:type="dxa" w:w="1800"/>
            <w:vAlign w:val="center"/>
            <w:tcMar>
              <w:top w:w="80" w:type="dxa"/>
              <w:bottom w:w="80" w:type="dxa"/>
              <w:start w:w="120" w:type="dxa"/>
              <w:end w:w="120" w:type="dxa"/>
            </w:tcMar>
          </w:tcPr>
          <w:p>
            <w:pPr>
              <w:spacing w:after="0" w:line="240" w:lineRule="auto"/>
            </w:pPr>
            <w:r/>
            <w:r>
              <w:rPr>
                <w:rFonts w:ascii="Calibri" w:hAnsi="Calibri"/>
                <w:color w:val="19212D"/>
                <w:sz w:val="19"/>
              </w:rPr>
              <w:t>AWS</w:t>
            </w:r>
          </w:p>
        </w:tc>
        <w:tc>
          <w:tcPr>
            <w:tcW w:type="dxa" w:w="1700"/>
            <w:vAlign w:val="center"/>
            <w:tcMar>
              <w:top w:w="80" w:type="dxa"/>
              <w:bottom w:w="80" w:type="dxa"/>
              <w:start w:w="120" w:type="dxa"/>
              <w:end w:w="120" w:type="dxa"/>
            </w:tcMar>
          </w:tcPr>
          <w:p>
            <w:pPr>
              <w:spacing w:after="0" w:line="240" w:lineRule="auto"/>
            </w:pPr>
            <w:r/>
            <w:r>
              <w:rPr>
                <w:rFonts w:ascii="Calibri" w:hAnsi="Calibri"/>
                <w:color w:val="19212D"/>
                <w:sz w:val="19"/>
              </w:rPr>
              <w:t>731</w:t>
            </w:r>
          </w:p>
        </w:tc>
        <w:tc>
          <w:tcPr>
            <w:tcW w:type="dxa" w:w="3160"/>
            <w:vAlign w:val="center"/>
            <w:tcMar>
              <w:top w:w="80" w:type="dxa"/>
              <w:bottom w:w="80" w:type="dxa"/>
              <w:start w:w="120" w:type="dxa"/>
              <w:end w:w="120" w:type="dxa"/>
            </w:tcMar>
          </w:tcPr>
          <w:p>
            <w:pPr>
              <w:spacing w:after="0" w:line="240" w:lineRule="auto"/>
            </w:pPr>
            <w:r/>
            <w:r>
              <w:rPr>
                <w:rFonts w:ascii="Calibri" w:hAnsi="Calibri"/>
                <w:color w:val="19212D"/>
                <w:sz w:val="19"/>
              </w:rPr>
              <w:t>65 questions / 90 minutes</w:t>
            </w:r>
          </w:p>
        </w:tc>
      </w:tr>
      <w:tr>
        <w:tc>
          <w:tcPr>
            <w:tcW w:type="dxa" w:w="2700"/>
            <w:shd w:fill="FAFBFC"/>
            <w:vAlign w:val="center"/>
            <w:tcMar>
              <w:top w:w="80" w:type="dxa"/>
              <w:bottom w:w="80" w:type="dxa"/>
              <w:start w:w="120" w:type="dxa"/>
              <w:end w:w="120" w:type="dxa"/>
            </w:tcMar>
          </w:tcPr>
          <w:p>
            <w:pPr>
              <w:spacing w:after="0" w:line="240" w:lineRule="auto"/>
            </w:pPr>
            <w:r/>
            <w:r>
              <w:rPr>
                <w:rFonts w:ascii="Calibri" w:hAnsi="Calibri"/>
                <w:color w:val="19212D"/>
                <w:sz w:val="19"/>
              </w:rPr>
              <w:t>AWS Solutions Architect - Associate, SAA-C03</w:t>
            </w:r>
          </w:p>
        </w:tc>
        <w:tc>
          <w:tcPr>
            <w:tcW w:type="dxa" w:w="1800"/>
            <w:shd w:fill="FAFBFC"/>
            <w:vAlign w:val="center"/>
            <w:tcMar>
              <w:top w:w="80" w:type="dxa"/>
              <w:bottom w:w="80" w:type="dxa"/>
              <w:start w:w="120" w:type="dxa"/>
              <w:end w:w="120" w:type="dxa"/>
            </w:tcMar>
          </w:tcPr>
          <w:p>
            <w:pPr>
              <w:spacing w:after="0" w:line="240" w:lineRule="auto"/>
            </w:pPr>
            <w:r/>
            <w:r>
              <w:rPr>
                <w:rFonts w:ascii="Calibri" w:hAnsi="Calibri"/>
                <w:color w:val="19212D"/>
                <w:sz w:val="19"/>
              </w:rPr>
              <w:t>AWS</w:t>
            </w:r>
          </w:p>
        </w:tc>
        <w:tc>
          <w:tcPr>
            <w:tcW w:type="dxa" w:w="1700"/>
            <w:shd w:fill="FAFBFC"/>
            <w:vAlign w:val="center"/>
            <w:tcMar>
              <w:top w:w="80" w:type="dxa"/>
              <w:bottom w:w="80" w:type="dxa"/>
              <w:start w:w="120" w:type="dxa"/>
              <w:end w:w="120" w:type="dxa"/>
            </w:tcMar>
          </w:tcPr>
          <w:p>
            <w:pPr>
              <w:spacing w:after="0" w:line="240" w:lineRule="auto"/>
            </w:pPr>
            <w:r/>
            <w:r>
              <w:rPr>
                <w:rFonts w:ascii="Calibri" w:hAnsi="Calibri"/>
                <w:color w:val="19212D"/>
                <w:sz w:val="19"/>
              </w:rPr>
              <w:t>750</w:t>
            </w:r>
          </w:p>
        </w:tc>
        <w:tc>
          <w:tcPr>
            <w:tcW w:type="dxa" w:w="3160"/>
            <w:shd w:fill="FAFBFC"/>
            <w:vAlign w:val="center"/>
            <w:tcMar>
              <w:top w:w="80" w:type="dxa"/>
              <w:bottom w:w="80" w:type="dxa"/>
              <w:start w:w="120" w:type="dxa"/>
              <w:end w:w="120" w:type="dxa"/>
            </w:tcMar>
          </w:tcPr>
          <w:p>
            <w:pPr>
              <w:spacing w:after="0" w:line="240" w:lineRule="auto"/>
            </w:pPr>
            <w:r/>
            <w:r>
              <w:rPr>
                <w:rFonts w:ascii="Calibri" w:hAnsi="Calibri"/>
                <w:color w:val="19212D"/>
                <w:sz w:val="19"/>
              </w:rPr>
              <w:t>65 / 130</w:t>
            </w:r>
          </w:p>
        </w:tc>
      </w:tr>
      <w:tr>
        <w:tc>
          <w:tcPr>
            <w:tcW w:type="dxa" w:w="2700"/>
            <w:vAlign w:val="center"/>
            <w:tcMar>
              <w:top w:w="80" w:type="dxa"/>
              <w:bottom w:w="80" w:type="dxa"/>
              <w:start w:w="120" w:type="dxa"/>
              <w:end w:w="120" w:type="dxa"/>
            </w:tcMar>
          </w:tcPr>
          <w:p>
            <w:pPr>
              <w:spacing w:after="0" w:line="240" w:lineRule="auto"/>
            </w:pPr>
            <w:r/>
            <w:r>
              <w:rPr>
                <w:rFonts w:ascii="Calibri" w:hAnsi="Calibri"/>
                <w:color w:val="19212D"/>
                <w:sz w:val="19"/>
              </w:rPr>
              <w:t>Azure Fundamentals, AZ-900</w:t>
            </w:r>
          </w:p>
        </w:tc>
        <w:tc>
          <w:tcPr>
            <w:tcW w:type="dxa" w:w="1800"/>
            <w:vAlign w:val="center"/>
            <w:tcMar>
              <w:top w:w="80" w:type="dxa"/>
              <w:bottom w:w="80" w:type="dxa"/>
              <w:start w:w="120" w:type="dxa"/>
              <w:end w:w="120" w:type="dxa"/>
            </w:tcMar>
          </w:tcPr>
          <w:p>
            <w:pPr>
              <w:spacing w:after="0" w:line="240" w:lineRule="auto"/>
            </w:pPr>
            <w:r/>
            <w:r>
              <w:rPr>
                <w:rFonts w:ascii="Calibri" w:hAnsi="Calibri"/>
                <w:color w:val="19212D"/>
                <w:sz w:val="19"/>
              </w:rPr>
              <w:t>Microsoft</w:t>
            </w:r>
          </w:p>
        </w:tc>
        <w:tc>
          <w:tcPr>
            <w:tcW w:type="dxa" w:w="1700"/>
            <w:vAlign w:val="center"/>
            <w:tcMar>
              <w:top w:w="80" w:type="dxa"/>
              <w:bottom w:w="80" w:type="dxa"/>
              <w:start w:w="120" w:type="dxa"/>
              <w:end w:w="120" w:type="dxa"/>
            </w:tcMar>
          </w:tcPr>
          <w:p>
            <w:pPr>
              <w:spacing w:after="0" w:line="240" w:lineRule="auto"/>
            </w:pPr>
            <w:r/>
            <w:r>
              <w:rPr>
                <w:rFonts w:ascii="Calibri" w:hAnsi="Calibri"/>
                <w:color w:val="19212D"/>
                <w:sz w:val="19"/>
              </w:rPr>
              <w:t>600</w:t>
            </w:r>
          </w:p>
        </w:tc>
        <w:tc>
          <w:tcPr>
            <w:tcW w:type="dxa" w:w="3160"/>
            <w:vAlign w:val="center"/>
            <w:tcMar>
              <w:top w:w="80" w:type="dxa"/>
              <w:bottom w:w="80" w:type="dxa"/>
              <w:start w:w="120" w:type="dxa"/>
              <w:end w:w="120" w:type="dxa"/>
            </w:tcMar>
          </w:tcPr>
          <w:p>
            <w:pPr>
              <w:spacing w:after="0" w:line="240" w:lineRule="auto"/>
            </w:pPr>
            <w:r/>
            <w:r>
              <w:rPr>
                <w:rFonts w:ascii="Calibri" w:hAnsi="Calibri"/>
                <w:color w:val="19212D"/>
                <w:sz w:val="19"/>
              </w:rPr>
              <w:t>40 / 45</w:t>
            </w:r>
          </w:p>
        </w:tc>
      </w:tr>
      <w:tr>
        <w:tc>
          <w:tcPr>
            <w:tcW w:type="dxa" w:w="2700"/>
            <w:shd w:fill="FAFBFC"/>
            <w:vAlign w:val="center"/>
            <w:tcMar>
              <w:top w:w="80" w:type="dxa"/>
              <w:bottom w:w="80" w:type="dxa"/>
              <w:start w:w="120" w:type="dxa"/>
              <w:end w:w="120" w:type="dxa"/>
            </w:tcMar>
          </w:tcPr>
          <w:p>
            <w:pPr>
              <w:spacing w:after="0" w:line="240" w:lineRule="auto"/>
            </w:pPr>
            <w:r/>
            <w:r>
              <w:rPr>
                <w:rFonts w:ascii="Calibri" w:hAnsi="Calibri"/>
                <w:color w:val="19212D"/>
                <w:sz w:val="19"/>
              </w:rPr>
              <w:t>Cloud Digital Leader</w:t>
            </w:r>
          </w:p>
        </w:tc>
        <w:tc>
          <w:tcPr>
            <w:tcW w:type="dxa" w:w="1800"/>
            <w:shd w:fill="FAFBFC"/>
            <w:vAlign w:val="center"/>
            <w:tcMar>
              <w:top w:w="80" w:type="dxa"/>
              <w:bottom w:w="80" w:type="dxa"/>
              <w:start w:w="120" w:type="dxa"/>
              <w:end w:w="120" w:type="dxa"/>
            </w:tcMar>
          </w:tcPr>
          <w:p>
            <w:pPr>
              <w:spacing w:after="0" w:line="240" w:lineRule="auto"/>
            </w:pPr>
            <w:r/>
            <w:r>
              <w:rPr>
                <w:rFonts w:ascii="Calibri" w:hAnsi="Calibri"/>
                <w:color w:val="19212D"/>
                <w:sz w:val="19"/>
              </w:rPr>
              <w:t>Google Cloud</w:t>
            </w:r>
          </w:p>
        </w:tc>
        <w:tc>
          <w:tcPr>
            <w:tcW w:type="dxa" w:w="1700"/>
            <w:shd w:fill="FAFBFC"/>
            <w:vAlign w:val="center"/>
            <w:tcMar>
              <w:top w:w="80" w:type="dxa"/>
              <w:bottom w:w="80" w:type="dxa"/>
              <w:start w:w="120" w:type="dxa"/>
              <w:end w:w="120" w:type="dxa"/>
            </w:tcMar>
          </w:tcPr>
          <w:p>
            <w:pPr>
              <w:spacing w:after="0" w:line="240" w:lineRule="auto"/>
            </w:pPr>
            <w:r/>
            <w:r>
              <w:rPr>
                <w:rFonts w:ascii="Calibri" w:hAnsi="Calibri"/>
                <w:color w:val="19212D"/>
                <w:sz w:val="19"/>
              </w:rPr>
              <w:t>749</w:t>
            </w:r>
          </w:p>
        </w:tc>
        <w:tc>
          <w:tcPr>
            <w:tcW w:type="dxa" w:w="3160"/>
            <w:shd w:fill="FAFBFC"/>
            <w:vAlign w:val="center"/>
            <w:tcMar>
              <w:top w:w="80" w:type="dxa"/>
              <w:bottom w:w="80" w:type="dxa"/>
              <w:start w:w="120" w:type="dxa"/>
              <w:end w:w="120" w:type="dxa"/>
            </w:tcMar>
          </w:tcPr>
          <w:p>
            <w:pPr>
              <w:spacing w:after="0" w:line="240" w:lineRule="auto"/>
            </w:pPr>
            <w:r/>
            <w:r>
              <w:rPr>
                <w:rFonts w:ascii="Calibri" w:hAnsi="Calibri"/>
                <w:color w:val="19212D"/>
                <w:sz w:val="19"/>
              </w:rPr>
              <w:t>50 / 90</w:t>
            </w:r>
          </w:p>
        </w:tc>
      </w:tr>
      <w:tr>
        <w:tc>
          <w:tcPr>
            <w:tcW w:type="dxa" w:w="2700"/>
            <w:vAlign w:val="center"/>
            <w:tcMar>
              <w:top w:w="80" w:type="dxa"/>
              <w:bottom w:w="80" w:type="dxa"/>
              <w:start w:w="120" w:type="dxa"/>
              <w:end w:w="120" w:type="dxa"/>
            </w:tcMar>
          </w:tcPr>
          <w:p>
            <w:pPr>
              <w:spacing w:after="0" w:line="240" w:lineRule="auto"/>
            </w:pPr>
            <w:r/>
            <w:r>
              <w:rPr>
                <w:rFonts w:ascii="Calibri" w:hAnsi="Calibri"/>
                <w:color w:val="19212D"/>
                <w:sz w:val="19"/>
              </w:rPr>
              <w:t>AI Infrastructure &amp; Operations</w:t>
            </w:r>
          </w:p>
        </w:tc>
        <w:tc>
          <w:tcPr>
            <w:tcW w:type="dxa" w:w="1800"/>
            <w:vAlign w:val="center"/>
            <w:tcMar>
              <w:top w:w="80" w:type="dxa"/>
              <w:bottom w:w="80" w:type="dxa"/>
              <w:start w:w="120" w:type="dxa"/>
              <w:end w:w="120" w:type="dxa"/>
            </w:tcMar>
          </w:tcPr>
          <w:p>
            <w:pPr>
              <w:spacing w:after="0" w:line="240" w:lineRule="auto"/>
            </w:pPr>
            <w:r/>
            <w:r>
              <w:rPr>
                <w:rFonts w:ascii="Calibri" w:hAnsi="Calibri"/>
                <w:color w:val="19212D"/>
                <w:sz w:val="19"/>
              </w:rPr>
              <w:t>NVIDIA</w:t>
            </w:r>
          </w:p>
        </w:tc>
        <w:tc>
          <w:tcPr>
            <w:tcW w:type="dxa" w:w="1700"/>
            <w:vAlign w:val="center"/>
            <w:tcMar>
              <w:top w:w="80" w:type="dxa"/>
              <w:bottom w:w="80" w:type="dxa"/>
              <w:start w:w="120" w:type="dxa"/>
              <w:end w:w="120" w:type="dxa"/>
            </w:tcMar>
          </w:tcPr>
          <w:p>
            <w:pPr>
              <w:spacing w:after="0" w:line="240" w:lineRule="auto"/>
            </w:pPr>
            <w:r/>
            <w:r>
              <w:rPr>
                <w:rFonts w:ascii="Calibri" w:hAnsi="Calibri"/>
                <w:color w:val="19212D"/>
                <w:sz w:val="19"/>
              </w:rPr>
              <w:t>336</w:t>
            </w:r>
          </w:p>
        </w:tc>
        <w:tc>
          <w:tcPr>
            <w:tcW w:type="dxa" w:w="3160"/>
            <w:vAlign w:val="center"/>
            <w:tcMar>
              <w:top w:w="80" w:type="dxa"/>
              <w:bottom w:w="80" w:type="dxa"/>
              <w:start w:w="120" w:type="dxa"/>
              <w:end w:w="120" w:type="dxa"/>
            </w:tcMar>
          </w:tcPr>
          <w:p>
            <w:pPr>
              <w:spacing w:after="0" w:line="240" w:lineRule="auto"/>
            </w:pPr>
            <w:r/>
            <w:r>
              <w:rPr>
                <w:rFonts w:ascii="Calibri" w:hAnsi="Calibri"/>
                <w:color w:val="19212D"/>
                <w:sz w:val="19"/>
              </w:rPr>
              <w:t>50 / 60</w:t>
            </w:r>
          </w:p>
        </w:tc>
      </w:tr>
      <w:tr>
        <w:tc>
          <w:tcPr>
            <w:tcW w:type="dxa" w:w="2700"/>
            <w:shd w:fill="FAFBFC"/>
            <w:vAlign w:val="center"/>
            <w:tcMar>
              <w:top w:w="80" w:type="dxa"/>
              <w:bottom w:w="80" w:type="dxa"/>
              <w:start w:w="120" w:type="dxa"/>
              <w:end w:w="120" w:type="dxa"/>
            </w:tcMar>
          </w:tcPr>
          <w:p>
            <w:pPr>
              <w:spacing w:after="0" w:line="240" w:lineRule="auto"/>
            </w:pPr>
            <w:r/>
            <w:r>
              <w:rPr>
                <w:rFonts w:ascii="Calibri" w:hAnsi="Calibri"/>
                <w:color w:val="19212D"/>
                <w:sz w:val="19"/>
              </w:rPr>
              <w:t>Generative AI LLMs</w:t>
            </w:r>
          </w:p>
        </w:tc>
        <w:tc>
          <w:tcPr>
            <w:tcW w:type="dxa" w:w="1800"/>
            <w:shd w:fill="FAFBFC"/>
            <w:vAlign w:val="center"/>
            <w:tcMar>
              <w:top w:w="80" w:type="dxa"/>
              <w:bottom w:w="80" w:type="dxa"/>
              <w:start w:w="120" w:type="dxa"/>
              <w:end w:w="120" w:type="dxa"/>
            </w:tcMar>
          </w:tcPr>
          <w:p>
            <w:pPr>
              <w:spacing w:after="0" w:line="240" w:lineRule="auto"/>
            </w:pPr>
            <w:r/>
            <w:r>
              <w:rPr>
                <w:rFonts w:ascii="Calibri" w:hAnsi="Calibri"/>
                <w:color w:val="19212D"/>
                <w:sz w:val="19"/>
              </w:rPr>
              <w:t>NVIDIA</w:t>
            </w:r>
          </w:p>
        </w:tc>
        <w:tc>
          <w:tcPr>
            <w:tcW w:type="dxa" w:w="1700"/>
            <w:shd w:fill="FAFBFC"/>
            <w:vAlign w:val="center"/>
            <w:tcMar>
              <w:top w:w="80" w:type="dxa"/>
              <w:bottom w:w="80" w:type="dxa"/>
              <w:start w:w="120" w:type="dxa"/>
              <w:end w:w="120" w:type="dxa"/>
            </w:tcMar>
          </w:tcPr>
          <w:p>
            <w:pPr>
              <w:spacing w:after="0" w:line="240" w:lineRule="auto"/>
            </w:pPr>
            <w:r/>
            <w:r>
              <w:rPr>
                <w:rFonts w:ascii="Calibri" w:hAnsi="Calibri"/>
                <w:color w:val="19212D"/>
                <w:sz w:val="19"/>
              </w:rPr>
              <w:t>330</w:t>
            </w:r>
          </w:p>
        </w:tc>
        <w:tc>
          <w:tcPr>
            <w:tcW w:type="dxa" w:w="3160"/>
            <w:shd w:fill="FAFBFC"/>
            <w:vAlign w:val="center"/>
            <w:tcMar>
              <w:top w:w="80" w:type="dxa"/>
              <w:bottom w:w="80" w:type="dxa"/>
              <w:start w:w="120" w:type="dxa"/>
              <w:end w:w="120" w:type="dxa"/>
            </w:tcMar>
          </w:tcPr>
          <w:p>
            <w:pPr>
              <w:spacing w:after="0" w:line="240" w:lineRule="auto"/>
            </w:pPr>
            <w:r/>
            <w:r>
              <w:rPr>
                <w:rFonts w:ascii="Calibri" w:hAnsi="Calibri"/>
                <w:color w:val="19212D"/>
                <w:sz w:val="19"/>
              </w:rPr>
              <w:t>50 / 60</w:t>
            </w:r>
          </w:p>
        </w:tc>
      </w:tr>
      <w:tr>
        <w:tc>
          <w:tcPr>
            <w:tcW w:type="dxa" w:w="2700"/>
            <w:vAlign w:val="center"/>
            <w:tcMar>
              <w:top w:w="80" w:type="dxa"/>
              <w:bottom w:w="80" w:type="dxa"/>
              <w:start w:w="120" w:type="dxa"/>
              <w:end w:w="120" w:type="dxa"/>
            </w:tcMar>
          </w:tcPr>
          <w:p>
            <w:pPr>
              <w:spacing w:after="0" w:line="240" w:lineRule="auto"/>
            </w:pPr>
            <w:r/>
            <w:r>
              <w:rPr>
                <w:rFonts w:ascii="Calibri" w:hAnsi="Calibri"/>
                <w:color w:val="19212D"/>
                <w:sz w:val="19"/>
              </w:rPr>
              <w:t>CCST Networking, 100-150</w:t>
            </w:r>
          </w:p>
        </w:tc>
        <w:tc>
          <w:tcPr>
            <w:tcW w:type="dxa" w:w="1800"/>
            <w:vAlign w:val="center"/>
            <w:tcMar>
              <w:top w:w="80" w:type="dxa"/>
              <w:bottom w:w="80" w:type="dxa"/>
              <w:start w:w="120" w:type="dxa"/>
              <w:end w:w="120" w:type="dxa"/>
            </w:tcMar>
          </w:tcPr>
          <w:p>
            <w:pPr>
              <w:spacing w:after="0" w:line="240" w:lineRule="auto"/>
            </w:pPr>
            <w:r/>
            <w:r>
              <w:rPr>
                <w:rFonts w:ascii="Calibri" w:hAnsi="Calibri"/>
                <w:color w:val="19212D"/>
                <w:sz w:val="19"/>
              </w:rPr>
              <w:t>Cisco</w:t>
            </w:r>
          </w:p>
        </w:tc>
        <w:tc>
          <w:tcPr>
            <w:tcW w:type="dxa" w:w="1700"/>
            <w:vAlign w:val="center"/>
            <w:tcMar>
              <w:top w:w="80" w:type="dxa"/>
              <w:bottom w:w="80" w:type="dxa"/>
              <w:start w:w="120" w:type="dxa"/>
              <w:end w:w="120" w:type="dxa"/>
            </w:tcMar>
          </w:tcPr>
          <w:p>
            <w:pPr>
              <w:spacing w:after="0" w:line="240" w:lineRule="auto"/>
            </w:pPr>
            <w:r/>
            <w:r>
              <w:rPr>
                <w:rFonts w:ascii="Calibri" w:hAnsi="Calibri"/>
                <w:color w:val="19212D"/>
                <w:sz w:val="19"/>
              </w:rPr>
              <w:t>750</w:t>
            </w:r>
          </w:p>
        </w:tc>
        <w:tc>
          <w:tcPr>
            <w:tcW w:type="dxa" w:w="3160"/>
            <w:vAlign w:val="center"/>
            <w:tcMar>
              <w:top w:w="80" w:type="dxa"/>
              <w:bottom w:w="80" w:type="dxa"/>
              <w:start w:w="120" w:type="dxa"/>
              <w:end w:w="120" w:type="dxa"/>
            </w:tcMar>
          </w:tcPr>
          <w:p>
            <w:pPr>
              <w:spacing w:after="0" w:line="240" w:lineRule="auto"/>
            </w:pPr>
            <w:r/>
            <w:r>
              <w:rPr>
                <w:rFonts w:ascii="Calibri" w:hAnsi="Calibri"/>
                <w:color w:val="19212D"/>
                <w:sz w:val="19"/>
              </w:rPr>
              <w:t>50 / 50</w:t>
            </w:r>
          </w:p>
        </w:tc>
      </w:tr>
      <w:tr>
        <w:tc>
          <w:tcPr>
            <w:tcW w:type="dxa" w:w="2700"/>
            <w:shd w:fill="FAFBFC"/>
            <w:vAlign w:val="center"/>
            <w:tcMar>
              <w:top w:w="80" w:type="dxa"/>
              <w:bottom w:w="80" w:type="dxa"/>
              <w:start w:w="120" w:type="dxa"/>
              <w:end w:w="120" w:type="dxa"/>
            </w:tcMar>
          </w:tcPr>
          <w:p>
            <w:pPr>
              <w:spacing w:after="0" w:line="240" w:lineRule="auto"/>
            </w:pPr>
            <w:r/>
            <w:r>
              <w:rPr>
                <w:rFonts w:ascii="Calibri" w:hAnsi="Calibri"/>
                <w:color w:val="19212D"/>
                <w:sz w:val="19"/>
              </w:rPr>
              <w:t>CCNA, 200-301</w:t>
            </w:r>
          </w:p>
        </w:tc>
        <w:tc>
          <w:tcPr>
            <w:tcW w:type="dxa" w:w="1800"/>
            <w:shd w:fill="FAFBFC"/>
            <w:vAlign w:val="center"/>
            <w:tcMar>
              <w:top w:w="80" w:type="dxa"/>
              <w:bottom w:w="80" w:type="dxa"/>
              <w:start w:w="120" w:type="dxa"/>
              <w:end w:w="120" w:type="dxa"/>
            </w:tcMar>
          </w:tcPr>
          <w:p>
            <w:pPr>
              <w:spacing w:after="0" w:line="240" w:lineRule="auto"/>
            </w:pPr>
            <w:r/>
            <w:r>
              <w:rPr>
                <w:rFonts w:ascii="Calibri" w:hAnsi="Calibri"/>
                <w:color w:val="19212D"/>
                <w:sz w:val="19"/>
              </w:rPr>
              <w:t>Cisco</w:t>
            </w:r>
          </w:p>
        </w:tc>
        <w:tc>
          <w:tcPr>
            <w:tcW w:type="dxa" w:w="1700"/>
            <w:shd w:fill="FAFBFC"/>
            <w:vAlign w:val="center"/>
            <w:tcMar>
              <w:top w:w="80" w:type="dxa"/>
              <w:bottom w:w="80" w:type="dxa"/>
              <w:start w:w="120" w:type="dxa"/>
              <w:end w:w="120" w:type="dxa"/>
            </w:tcMar>
          </w:tcPr>
          <w:p>
            <w:pPr>
              <w:spacing w:after="0" w:line="240" w:lineRule="auto"/>
            </w:pPr>
            <w:r/>
            <w:r>
              <w:rPr>
                <w:rFonts w:ascii="Calibri" w:hAnsi="Calibri"/>
                <w:color w:val="19212D"/>
                <w:sz w:val="19"/>
              </w:rPr>
              <w:t>750</w:t>
            </w:r>
          </w:p>
        </w:tc>
        <w:tc>
          <w:tcPr>
            <w:tcW w:type="dxa" w:w="3160"/>
            <w:shd w:fill="FAFBFC"/>
            <w:vAlign w:val="center"/>
            <w:tcMar>
              <w:top w:w="80" w:type="dxa"/>
              <w:bottom w:w="80" w:type="dxa"/>
              <w:start w:w="120" w:type="dxa"/>
              <w:end w:w="120" w:type="dxa"/>
            </w:tcMar>
          </w:tcPr>
          <w:p>
            <w:pPr>
              <w:spacing w:after="0" w:line="240" w:lineRule="auto"/>
            </w:pPr>
            <w:r/>
            <w:r>
              <w:rPr>
                <w:rFonts w:ascii="Calibri" w:hAnsi="Calibri"/>
                <w:color w:val="19212D"/>
                <w:sz w:val="19"/>
              </w:rPr>
              <w:t>60 / 120</w:t>
            </w:r>
          </w:p>
        </w:tc>
      </w:tr>
      <w:tr>
        <w:tc>
          <w:tcPr>
            <w:tcW w:type="dxa" w:w="2700"/>
            <w:vAlign w:val="center"/>
            <w:tcMar>
              <w:top w:w="80" w:type="dxa"/>
              <w:bottom w:w="80" w:type="dxa"/>
              <w:start w:w="120" w:type="dxa"/>
              <w:end w:w="120" w:type="dxa"/>
            </w:tcMar>
          </w:tcPr>
          <w:p>
            <w:pPr>
              <w:spacing w:after="0" w:line="240" w:lineRule="auto"/>
            </w:pPr>
            <w:r/>
            <w:r>
              <w:rPr>
                <w:rFonts w:ascii="Calibri" w:hAnsi="Calibri"/>
                <w:color w:val="19212D"/>
                <w:sz w:val="19"/>
              </w:rPr>
              <w:t>A+ Core 1, 220-1201</w:t>
            </w:r>
          </w:p>
        </w:tc>
        <w:tc>
          <w:tcPr>
            <w:tcW w:type="dxa" w:w="1800"/>
            <w:vAlign w:val="center"/>
            <w:tcMar>
              <w:top w:w="80" w:type="dxa"/>
              <w:bottom w:w="80" w:type="dxa"/>
              <w:start w:w="120" w:type="dxa"/>
              <w:end w:w="120" w:type="dxa"/>
            </w:tcMar>
          </w:tcPr>
          <w:p>
            <w:pPr>
              <w:spacing w:after="0" w:line="240" w:lineRule="auto"/>
            </w:pPr>
            <w:r/>
            <w:r>
              <w:rPr>
                <w:rFonts w:ascii="Calibri" w:hAnsi="Calibri"/>
                <w:color w:val="19212D"/>
                <w:sz w:val="19"/>
              </w:rPr>
              <w:t>CompTIA</w:t>
            </w:r>
          </w:p>
        </w:tc>
        <w:tc>
          <w:tcPr>
            <w:tcW w:type="dxa" w:w="1700"/>
            <w:vAlign w:val="center"/>
            <w:tcMar>
              <w:top w:w="80" w:type="dxa"/>
              <w:bottom w:w="80" w:type="dxa"/>
              <w:start w:w="120" w:type="dxa"/>
              <w:end w:w="120" w:type="dxa"/>
            </w:tcMar>
          </w:tcPr>
          <w:p>
            <w:pPr>
              <w:spacing w:after="0" w:line="240" w:lineRule="auto"/>
            </w:pPr>
            <w:r/>
            <w:r>
              <w:rPr>
                <w:rFonts w:ascii="Calibri" w:hAnsi="Calibri"/>
                <w:color w:val="19212D"/>
                <w:sz w:val="19"/>
              </w:rPr>
              <w:t>750</w:t>
            </w:r>
          </w:p>
        </w:tc>
        <w:tc>
          <w:tcPr>
            <w:tcW w:type="dxa" w:w="3160"/>
            <w:vAlign w:val="center"/>
            <w:tcMar>
              <w:top w:w="80" w:type="dxa"/>
              <w:bottom w:w="80" w:type="dxa"/>
              <w:start w:w="120" w:type="dxa"/>
              <w:end w:w="120" w:type="dxa"/>
            </w:tcMar>
          </w:tcPr>
          <w:p>
            <w:pPr>
              <w:spacing w:after="0" w:line="240" w:lineRule="auto"/>
            </w:pPr>
            <w:r/>
            <w:r>
              <w:rPr>
                <w:rFonts w:ascii="Calibri" w:hAnsi="Calibri"/>
                <w:color w:val="19212D"/>
                <w:sz w:val="19"/>
              </w:rPr>
              <w:t>90 / 90</w:t>
            </w:r>
          </w:p>
        </w:tc>
      </w:tr>
      <w:tr>
        <w:tc>
          <w:tcPr>
            <w:tcW w:type="dxa" w:w="2700"/>
            <w:shd w:fill="FAFBFC"/>
            <w:vAlign w:val="center"/>
            <w:tcMar>
              <w:top w:w="80" w:type="dxa"/>
              <w:bottom w:w="80" w:type="dxa"/>
              <w:start w:w="120" w:type="dxa"/>
              <w:end w:w="120" w:type="dxa"/>
            </w:tcMar>
          </w:tcPr>
          <w:p>
            <w:pPr>
              <w:spacing w:after="0" w:line="240" w:lineRule="auto"/>
            </w:pPr>
            <w:r/>
            <w:r>
              <w:rPr>
                <w:rFonts w:ascii="Calibri" w:hAnsi="Calibri"/>
                <w:color w:val="19212D"/>
                <w:sz w:val="19"/>
              </w:rPr>
              <w:t>A+ Core 2, 220-1202</w:t>
            </w:r>
          </w:p>
        </w:tc>
        <w:tc>
          <w:tcPr>
            <w:tcW w:type="dxa" w:w="1800"/>
            <w:shd w:fill="FAFBFC"/>
            <w:vAlign w:val="center"/>
            <w:tcMar>
              <w:top w:w="80" w:type="dxa"/>
              <w:bottom w:w="80" w:type="dxa"/>
              <w:start w:w="120" w:type="dxa"/>
              <w:end w:w="120" w:type="dxa"/>
            </w:tcMar>
          </w:tcPr>
          <w:p>
            <w:pPr>
              <w:spacing w:after="0" w:line="240" w:lineRule="auto"/>
            </w:pPr>
            <w:r/>
            <w:r>
              <w:rPr>
                <w:rFonts w:ascii="Calibri" w:hAnsi="Calibri"/>
                <w:color w:val="19212D"/>
                <w:sz w:val="19"/>
              </w:rPr>
              <w:t>CompTIA</w:t>
            </w:r>
          </w:p>
        </w:tc>
        <w:tc>
          <w:tcPr>
            <w:tcW w:type="dxa" w:w="1700"/>
            <w:shd w:fill="FAFBFC"/>
            <w:vAlign w:val="center"/>
            <w:tcMar>
              <w:top w:w="80" w:type="dxa"/>
              <w:bottom w:w="80" w:type="dxa"/>
              <w:start w:w="120" w:type="dxa"/>
              <w:end w:w="120" w:type="dxa"/>
            </w:tcMar>
          </w:tcPr>
          <w:p>
            <w:pPr>
              <w:spacing w:after="0" w:line="240" w:lineRule="auto"/>
            </w:pPr>
            <w:r/>
            <w:r>
              <w:rPr>
                <w:rFonts w:ascii="Calibri" w:hAnsi="Calibri"/>
                <w:color w:val="19212D"/>
                <w:sz w:val="19"/>
              </w:rPr>
              <w:t>750</w:t>
            </w:r>
          </w:p>
        </w:tc>
        <w:tc>
          <w:tcPr>
            <w:tcW w:type="dxa" w:w="3160"/>
            <w:shd w:fill="FAFBFC"/>
            <w:vAlign w:val="center"/>
            <w:tcMar>
              <w:top w:w="80" w:type="dxa"/>
              <w:bottom w:w="80" w:type="dxa"/>
              <w:start w:w="120" w:type="dxa"/>
              <w:end w:w="120" w:type="dxa"/>
            </w:tcMar>
          </w:tcPr>
          <w:p>
            <w:pPr>
              <w:spacing w:after="0" w:line="240" w:lineRule="auto"/>
            </w:pPr>
            <w:r/>
            <w:r>
              <w:rPr>
                <w:rFonts w:ascii="Calibri" w:hAnsi="Calibri"/>
                <w:color w:val="19212D"/>
                <w:sz w:val="19"/>
              </w:rPr>
              <w:t>90 / 90</w:t>
            </w:r>
          </w:p>
        </w:tc>
      </w:tr>
      <w:tr>
        <w:tc>
          <w:tcPr>
            <w:tcW w:type="dxa" w:w="2700"/>
            <w:vAlign w:val="center"/>
            <w:tcMar>
              <w:top w:w="80" w:type="dxa"/>
              <w:bottom w:w="80" w:type="dxa"/>
              <w:start w:w="120" w:type="dxa"/>
              <w:end w:w="120" w:type="dxa"/>
            </w:tcMar>
          </w:tcPr>
          <w:p>
            <w:pPr>
              <w:spacing w:after="0" w:line="240" w:lineRule="auto"/>
            </w:pPr>
            <w:r/>
            <w:r>
              <w:rPr>
                <w:rFonts w:ascii="Calibri" w:hAnsi="Calibri"/>
                <w:color w:val="19212D"/>
                <w:sz w:val="19"/>
              </w:rPr>
              <w:t>Network+, N10-009</w:t>
            </w:r>
          </w:p>
        </w:tc>
        <w:tc>
          <w:tcPr>
            <w:tcW w:type="dxa" w:w="1800"/>
            <w:vAlign w:val="center"/>
            <w:tcMar>
              <w:top w:w="80" w:type="dxa"/>
              <w:bottom w:w="80" w:type="dxa"/>
              <w:start w:w="120" w:type="dxa"/>
              <w:end w:w="120" w:type="dxa"/>
            </w:tcMar>
          </w:tcPr>
          <w:p>
            <w:pPr>
              <w:spacing w:after="0" w:line="240" w:lineRule="auto"/>
            </w:pPr>
            <w:r/>
            <w:r>
              <w:rPr>
                <w:rFonts w:ascii="Calibri" w:hAnsi="Calibri"/>
                <w:color w:val="19212D"/>
                <w:sz w:val="19"/>
              </w:rPr>
              <w:t>CompTIA</w:t>
            </w:r>
          </w:p>
        </w:tc>
        <w:tc>
          <w:tcPr>
            <w:tcW w:type="dxa" w:w="1700"/>
            <w:vAlign w:val="center"/>
            <w:tcMar>
              <w:top w:w="80" w:type="dxa"/>
              <w:bottom w:w="80" w:type="dxa"/>
              <w:start w:w="120" w:type="dxa"/>
              <w:end w:w="120" w:type="dxa"/>
            </w:tcMar>
          </w:tcPr>
          <w:p>
            <w:pPr>
              <w:spacing w:after="0" w:line="240" w:lineRule="auto"/>
            </w:pPr>
            <w:r/>
            <w:r>
              <w:rPr>
                <w:rFonts w:ascii="Calibri" w:hAnsi="Calibri"/>
                <w:color w:val="19212D"/>
                <w:sz w:val="19"/>
              </w:rPr>
              <w:t>751</w:t>
            </w:r>
          </w:p>
        </w:tc>
        <w:tc>
          <w:tcPr>
            <w:tcW w:type="dxa" w:w="3160"/>
            <w:vAlign w:val="center"/>
            <w:tcMar>
              <w:top w:w="80" w:type="dxa"/>
              <w:bottom w:w="80" w:type="dxa"/>
              <w:start w:w="120" w:type="dxa"/>
              <w:end w:w="120" w:type="dxa"/>
            </w:tcMar>
          </w:tcPr>
          <w:p>
            <w:pPr>
              <w:spacing w:after="0" w:line="240" w:lineRule="auto"/>
            </w:pPr>
            <w:r/>
            <w:r>
              <w:rPr>
                <w:rFonts w:ascii="Calibri" w:hAnsi="Calibri"/>
                <w:color w:val="19212D"/>
                <w:sz w:val="19"/>
              </w:rPr>
              <w:t>90 / 90</w:t>
            </w:r>
          </w:p>
        </w:tc>
      </w:tr>
      <w:tr>
        <w:tc>
          <w:tcPr>
            <w:tcW w:type="dxa" w:w="2700"/>
            <w:shd w:fill="FAFBFC"/>
            <w:vAlign w:val="center"/>
            <w:tcMar>
              <w:top w:w="80" w:type="dxa"/>
              <w:bottom w:w="80" w:type="dxa"/>
              <w:start w:w="120" w:type="dxa"/>
              <w:end w:w="120" w:type="dxa"/>
            </w:tcMar>
          </w:tcPr>
          <w:p>
            <w:pPr>
              <w:spacing w:after="0" w:line="240" w:lineRule="auto"/>
            </w:pPr>
            <w:r/>
            <w:r>
              <w:rPr>
                <w:rFonts w:ascii="Calibri" w:hAnsi="Calibri"/>
                <w:color w:val="19212D"/>
                <w:sz w:val="19"/>
              </w:rPr>
              <w:t>Security+, SY0-701</w:t>
            </w:r>
          </w:p>
        </w:tc>
        <w:tc>
          <w:tcPr>
            <w:tcW w:type="dxa" w:w="1800"/>
            <w:shd w:fill="FAFBFC"/>
            <w:vAlign w:val="center"/>
            <w:tcMar>
              <w:top w:w="80" w:type="dxa"/>
              <w:bottom w:w="80" w:type="dxa"/>
              <w:start w:w="120" w:type="dxa"/>
              <w:end w:w="120" w:type="dxa"/>
            </w:tcMar>
          </w:tcPr>
          <w:p>
            <w:pPr>
              <w:spacing w:after="0" w:line="240" w:lineRule="auto"/>
            </w:pPr>
            <w:r/>
            <w:r>
              <w:rPr>
                <w:rFonts w:ascii="Calibri" w:hAnsi="Calibri"/>
                <w:color w:val="19212D"/>
                <w:sz w:val="19"/>
              </w:rPr>
              <w:t>CompTIA</w:t>
            </w:r>
          </w:p>
        </w:tc>
        <w:tc>
          <w:tcPr>
            <w:tcW w:type="dxa" w:w="1700"/>
            <w:shd w:fill="FAFBFC"/>
            <w:vAlign w:val="center"/>
            <w:tcMar>
              <w:top w:w="80" w:type="dxa"/>
              <w:bottom w:w="80" w:type="dxa"/>
              <w:start w:w="120" w:type="dxa"/>
              <w:end w:w="120" w:type="dxa"/>
            </w:tcMar>
          </w:tcPr>
          <w:p>
            <w:pPr>
              <w:spacing w:after="0" w:line="240" w:lineRule="auto"/>
            </w:pPr>
            <w:r/>
            <w:r>
              <w:rPr>
                <w:rFonts w:ascii="Calibri" w:hAnsi="Calibri"/>
                <w:color w:val="19212D"/>
                <w:sz w:val="19"/>
              </w:rPr>
              <w:t>750</w:t>
            </w:r>
          </w:p>
        </w:tc>
        <w:tc>
          <w:tcPr>
            <w:tcW w:type="dxa" w:w="3160"/>
            <w:shd w:fill="FAFBFC"/>
            <w:vAlign w:val="center"/>
            <w:tcMar>
              <w:top w:w="80" w:type="dxa"/>
              <w:bottom w:w="80" w:type="dxa"/>
              <w:start w:w="120" w:type="dxa"/>
              <w:end w:w="120" w:type="dxa"/>
            </w:tcMar>
          </w:tcPr>
          <w:p>
            <w:pPr>
              <w:spacing w:after="0" w:line="240" w:lineRule="auto"/>
            </w:pPr>
            <w:r/>
            <w:r>
              <w:rPr>
                <w:rFonts w:ascii="Calibri" w:hAnsi="Calibri"/>
                <w:color w:val="19212D"/>
                <w:sz w:val="19"/>
              </w:rPr>
              <w:t>90 / 90</w:t>
            </w:r>
          </w:p>
        </w:tc>
      </w:tr>
      <w:tr>
        <w:tc>
          <w:tcPr>
            <w:tcW w:type="dxa" w:w="2700"/>
            <w:vAlign w:val="center"/>
            <w:tcMar>
              <w:top w:w="80" w:type="dxa"/>
              <w:bottom w:w="80" w:type="dxa"/>
              <w:start w:w="120" w:type="dxa"/>
              <w:end w:w="120" w:type="dxa"/>
            </w:tcMar>
          </w:tcPr>
          <w:p>
            <w:pPr>
              <w:spacing w:after="0" w:line="240" w:lineRule="auto"/>
            </w:pPr>
            <w:r/>
            <w:r>
              <w:rPr>
                <w:rFonts w:ascii="Calibri" w:hAnsi="Calibri"/>
                <w:color w:val="19212D"/>
                <w:sz w:val="19"/>
              </w:rPr>
              <w:t>Server+, SK0-005</w:t>
            </w:r>
          </w:p>
        </w:tc>
        <w:tc>
          <w:tcPr>
            <w:tcW w:type="dxa" w:w="1800"/>
            <w:vAlign w:val="center"/>
            <w:tcMar>
              <w:top w:w="80" w:type="dxa"/>
              <w:bottom w:w="80" w:type="dxa"/>
              <w:start w:w="120" w:type="dxa"/>
              <w:end w:w="120" w:type="dxa"/>
            </w:tcMar>
          </w:tcPr>
          <w:p>
            <w:pPr>
              <w:spacing w:after="0" w:line="240" w:lineRule="auto"/>
            </w:pPr>
            <w:r/>
            <w:r>
              <w:rPr>
                <w:rFonts w:ascii="Calibri" w:hAnsi="Calibri"/>
                <w:color w:val="19212D"/>
                <w:sz w:val="19"/>
              </w:rPr>
              <w:t>CompTIA</w:t>
            </w:r>
          </w:p>
        </w:tc>
        <w:tc>
          <w:tcPr>
            <w:tcW w:type="dxa" w:w="1700"/>
            <w:vAlign w:val="center"/>
            <w:tcMar>
              <w:top w:w="80" w:type="dxa"/>
              <w:bottom w:w="80" w:type="dxa"/>
              <w:start w:w="120" w:type="dxa"/>
              <w:end w:w="120" w:type="dxa"/>
            </w:tcMar>
          </w:tcPr>
          <w:p>
            <w:pPr>
              <w:spacing w:after="0" w:line="240" w:lineRule="auto"/>
            </w:pPr>
            <w:r/>
            <w:r>
              <w:rPr>
                <w:rFonts w:ascii="Calibri" w:hAnsi="Calibri"/>
                <w:color w:val="19212D"/>
                <w:sz w:val="19"/>
              </w:rPr>
              <w:t>750</w:t>
            </w:r>
          </w:p>
        </w:tc>
        <w:tc>
          <w:tcPr>
            <w:tcW w:type="dxa" w:w="3160"/>
            <w:vAlign w:val="center"/>
            <w:tcMar>
              <w:top w:w="80" w:type="dxa"/>
              <w:bottom w:w="80" w:type="dxa"/>
              <w:start w:w="120" w:type="dxa"/>
              <w:end w:w="120" w:type="dxa"/>
            </w:tcMar>
          </w:tcPr>
          <w:p>
            <w:pPr>
              <w:spacing w:after="0" w:line="240" w:lineRule="auto"/>
            </w:pPr>
            <w:r/>
            <w:r>
              <w:rPr>
                <w:rFonts w:ascii="Calibri" w:hAnsi="Calibri"/>
                <w:color w:val="19212D"/>
                <w:sz w:val="19"/>
              </w:rPr>
              <w:t>90 / 90</w:t>
            </w:r>
          </w:p>
        </w:tc>
      </w:tr>
      <w:tr>
        <w:tc>
          <w:tcPr>
            <w:tcW w:type="dxa" w:w="2700"/>
            <w:shd w:fill="FAFBFC"/>
            <w:vAlign w:val="center"/>
            <w:tcMar>
              <w:top w:w="80" w:type="dxa"/>
              <w:bottom w:w="80" w:type="dxa"/>
              <w:start w:w="120" w:type="dxa"/>
              <w:end w:w="120" w:type="dxa"/>
            </w:tcMar>
          </w:tcPr>
          <w:p>
            <w:pPr>
              <w:spacing w:after="0" w:line="240" w:lineRule="auto"/>
            </w:pPr>
            <w:r/>
            <w:r>
              <w:rPr>
                <w:rFonts w:ascii="Calibri" w:hAnsi="Calibri"/>
                <w:color w:val="19212D"/>
                <w:sz w:val="19"/>
              </w:rPr>
              <w:t>Linux+, XK0-006</w:t>
            </w:r>
          </w:p>
        </w:tc>
        <w:tc>
          <w:tcPr>
            <w:tcW w:type="dxa" w:w="1800"/>
            <w:shd w:fill="FAFBFC"/>
            <w:vAlign w:val="center"/>
            <w:tcMar>
              <w:top w:w="80" w:type="dxa"/>
              <w:bottom w:w="80" w:type="dxa"/>
              <w:start w:w="120" w:type="dxa"/>
              <w:end w:w="120" w:type="dxa"/>
            </w:tcMar>
          </w:tcPr>
          <w:p>
            <w:pPr>
              <w:spacing w:after="0" w:line="240" w:lineRule="auto"/>
            </w:pPr>
            <w:r/>
            <w:r>
              <w:rPr>
                <w:rFonts w:ascii="Calibri" w:hAnsi="Calibri"/>
                <w:color w:val="19212D"/>
                <w:sz w:val="19"/>
              </w:rPr>
              <w:t>CompTIA</w:t>
            </w:r>
          </w:p>
        </w:tc>
        <w:tc>
          <w:tcPr>
            <w:tcW w:type="dxa" w:w="1700"/>
            <w:shd w:fill="FAFBFC"/>
            <w:vAlign w:val="center"/>
            <w:tcMar>
              <w:top w:w="80" w:type="dxa"/>
              <w:bottom w:w="80" w:type="dxa"/>
              <w:start w:w="120" w:type="dxa"/>
              <w:end w:w="120" w:type="dxa"/>
            </w:tcMar>
          </w:tcPr>
          <w:p>
            <w:pPr>
              <w:spacing w:after="0" w:line="240" w:lineRule="auto"/>
            </w:pPr>
            <w:r/>
            <w:r>
              <w:rPr>
                <w:rFonts w:ascii="Calibri" w:hAnsi="Calibri"/>
                <w:color w:val="19212D"/>
                <w:sz w:val="19"/>
              </w:rPr>
              <w:t>750</w:t>
            </w:r>
          </w:p>
        </w:tc>
        <w:tc>
          <w:tcPr>
            <w:tcW w:type="dxa" w:w="3160"/>
            <w:shd w:fill="FAFBFC"/>
            <w:vAlign w:val="center"/>
            <w:tcMar>
              <w:top w:w="80" w:type="dxa"/>
              <w:bottom w:w="80" w:type="dxa"/>
              <w:start w:w="120" w:type="dxa"/>
              <w:end w:w="120" w:type="dxa"/>
            </w:tcMar>
          </w:tcPr>
          <w:p>
            <w:pPr>
              <w:spacing w:after="0" w:line="240" w:lineRule="auto"/>
            </w:pPr>
            <w:r/>
            <w:r>
              <w:rPr>
                <w:rFonts w:ascii="Calibri" w:hAnsi="Calibri"/>
                <w:color w:val="19212D"/>
                <w:sz w:val="19"/>
              </w:rPr>
              <w:t>90 / 90</w:t>
            </w:r>
          </w:p>
        </w:tc>
      </w:tr>
      <w:tr>
        <w:tc>
          <w:tcPr>
            <w:tcW w:type="dxa" w:w="2700"/>
            <w:vAlign w:val="center"/>
            <w:tcMar>
              <w:top w:w="80" w:type="dxa"/>
              <w:bottom w:w="80" w:type="dxa"/>
              <w:start w:w="120" w:type="dxa"/>
              <w:end w:w="120" w:type="dxa"/>
            </w:tcMar>
          </w:tcPr>
          <w:p>
            <w:pPr>
              <w:spacing w:after="0" w:line="240" w:lineRule="auto"/>
            </w:pPr>
            <w:r/>
            <w:r>
              <w:rPr>
                <w:rFonts w:ascii="Calibri" w:hAnsi="Calibri"/>
                <w:color w:val="19212D"/>
                <w:sz w:val="19"/>
              </w:rPr>
              <w:t>Splunk Core Certified User</w:t>
            </w:r>
          </w:p>
        </w:tc>
        <w:tc>
          <w:tcPr>
            <w:tcW w:type="dxa" w:w="1800"/>
            <w:vAlign w:val="center"/>
            <w:tcMar>
              <w:top w:w="80" w:type="dxa"/>
              <w:bottom w:w="80" w:type="dxa"/>
              <w:start w:w="120" w:type="dxa"/>
              <w:end w:w="120" w:type="dxa"/>
            </w:tcMar>
          </w:tcPr>
          <w:p>
            <w:pPr>
              <w:spacing w:after="0" w:line="240" w:lineRule="auto"/>
            </w:pPr>
            <w:r/>
            <w:r>
              <w:rPr>
                <w:rFonts w:ascii="Calibri" w:hAnsi="Calibri"/>
                <w:color w:val="19212D"/>
                <w:sz w:val="19"/>
              </w:rPr>
              <w:t>Splunk</w:t>
            </w:r>
          </w:p>
        </w:tc>
        <w:tc>
          <w:tcPr>
            <w:tcW w:type="dxa" w:w="1700"/>
            <w:vAlign w:val="center"/>
            <w:tcMar>
              <w:top w:w="80" w:type="dxa"/>
              <w:bottom w:w="80" w:type="dxa"/>
              <w:start w:w="120" w:type="dxa"/>
              <w:end w:w="120" w:type="dxa"/>
            </w:tcMar>
          </w:tcPr>
          <w:p>
            <w:pPr>
              <w:spacing w:after="0" w:line="240" w:lineRule="auto"/>
            </w:pPr>
            <w:r/>
            <w:r>
              <w:rPr>
                <w:rFonts w:ascii="Calibri" w:hAnsi="Calibri"/>
                <w:color w:val="19212D"/>
                <w:sz w:val="19"/>
              </w:rPr>
              <w:t>750</w:t>
            </w:r>
          </w:p>
        </w:tc>
        <w:tc>
          <w:tcPr>
            <w:tcW w:type="dxa" w:w="3160"/>
            <w:vAlign w:val="center"/>
            <w:tcMar>
              <w:top w:w="80" w:type="dxa"/>
              <w:bottom w:w="80" w:type="dxa"/>
              <w:start w:w="120" w:type="dxa"/>
              <w:end w:w="120" w:type="dxa"/>
            </w:tcMar>
          </w:tcPr>
          <w:p>
            <w:pPr>
              <w:spacing w:after="0" w:line="240" w:lineRule="auto"/>
            </w:pPr>
            <w:r/>
            <w:r>
              <w:rPr>
                <w:rFonts w:ascii="Calibri" w:hAnsi="Calibri"/>
                <w:color w:val="19212D"/>
                <w:sz w:val="19"/>
              </w:rPr>
              <w:t>60 / 60</w:t>
            </w:r>
          </w:p>
        </w:tc>
      </w:tr>
      <w:tr>
        <w:tc>
          <w:tcPr>
            <w:tcW w:type="dxa" w:w="2700"/>
            <w:shd w:fill="FAFBFC"/>
            <w:vAlign w:val="center"/>
            <w:tcMar>
              <w:top w:w="80" w:type="dxa"/>
              <w:bottom w:w="80" w:type="dxa"/>
              <w:start w:w="120" w:type="dxa"/>
              <w:end w:w="120" w:type="dxa"/>
            </w:tcMar>
          </w:tcPr>
          <w:p>
            <w:pPr>
              <w:spacing w:after="0" w:line="240" w:lineRule="auto"/>
            </w:pPr>
            <w:r/>
            <w:r>
              <w:rPr>
                <w:rFonts w:ascii="Calibri" w:hAnsi="Calibri"/>
                <w:color w:val="19212D"/>
                <w:sz w:val="19"/>
              </w:rPr>
              <w:t>Data Center Certified Associate</w:t>
            </w:r>
          </w:p>
        </w:tc>
        <w:tc>
          <w:tcPr>
            <w:tcW w:type="dxa" w:w="1800"/>
            <w:shd w:fill="FAFBFC"/>
            <w:vAlign w:val="center"/>
            <w:tcMar>
              <w:top w:w="80" w:type="dxa"/>
              <w:bottom w:w="80" w:type="dxa"/>
              <w:start w:w="120" w:type="dxa"/>
              <w:end w:w="120" w:type="dxa"/>
            </w:tcMar>
          </w:tcPr>
          <w:p>
            <w:pPr>
              <w:spacing w:after="0" w:line="240" w:lineRule="auto"/>
            </w:pPr>
            <w:r/>
            <w:r>
              <w:rPr>
                <w:rFonts w:ascii="Calibri" w:hAnsi="Calibri"/>
                <w:color w:val="19212D"/>
                <w:sz w:val="19"/>
              </w:rPr>
              <w:t>Schneider Electric</w:t>
            </w:r>
          </w:p>
        </w:tc>
        <w:tc>
          <w:tcPr>
            <w:tcW w:type="dxa" w:w="1700"/>
            <w:shd w:fill="FAFBFC"/>
            <w:vAlign w:val="center"/>
            <w:tcMar>
              <w:top w:w="80" w:type="dxa"/>
              <w:bottom w:w="80" w:type="dxa"/>
              <w:start w:w="120" w:type="dxa"/>
              <w:end w:w="120" w:type="dxa"/>
            </w:tcMar>
          </w:tcPr>
          <w:p>
            <w:pPr>
              <w:spacing w:after="0" w:line="240" w:lineRule="auto"/>
            </w:pPr>
            <w:r/>
            <w:r>
              <w:rPr>
                <w:rFonts w:ascii="Calibri" w:hAnsi="Calibri"/>
                <w:color w:val="19212D"/>
                <w:sz w:val="19"/>
              </w:rPr>
              <w:t>750</w:t>
            </w:r>
          </w:p>
        </w:tc>
        <w:tc>
          <w:tcPr>
            <w:tcW w:type="dxa" w:w="3160"/>
            <w:shd w:fill="FAFBFC"/>
            <w:vAlign w:val="center"/>
            <w:tcMar>
              <w:top w:w="80" w:type="dxa"/>
              <w:bottom w:w="80" w:type="dxa"/>
              <w:start w:w="120" w:type="dxa"/>
              <w:end w:w="120" w:type="dxa"/>
            </w:tcMar>
          </w:tcPr>
          <w:p>
            <w:pPr>
              <w:spacing w:after="0" w:line="240" w:lineRule="auto"/>
            </w:pPr>
            <w:r/>
            <w:r>
              <w:rPr>
                <w:rFonts w:ascii="Calibri" w:hAnsi="Calibri"/>
                <w:color w:val="19212D"/>
                <w:sz w:val="19"/>
              </w:rPr>
              <w:t>100 / 120</w:t>
            </w:r>
          </w:p>
        </w:tc>
      </w:tr>
      <w:tr>
        <w:tc>
          <w:tcPr>
            <w:tcW w:type="dxa" w:w="2700"/>
            <w:vAlign w:val="center"/>
            <w:tcMar>
              <w:top w:w="80" w:type="dxa"/>
              <w:bottom w:w="80" w:type="dxa"/>
              <w:start w:w="120" w:type="dxa"/>
              <w:end w:w="120" w:type="dxa"/>
            </w:tcMar>
          </w:tcPr>
          <w:p>
            <w:pPr>
              <w:spacing w:after="0" w:line="240" w:lineRule="auto"/>
            </w:pPr>
            <w:r/>
            <w:r>
              <w:rPr>
                <w:rFonts w:ascii="Calibri" w:hAnsi="Calibri"/>
                <w:color w:val="19212D"/>
                <w:sz w:val="19"/>
              </w:rPr>
              <w:t>Terraform Associate 004</w:t>
            </w:r>
          </w:p>
        </w:tc>
        <w:tc>
          <w:tcPr>
            <w:tcW w:type="dxa" w:w="1800"/>
            <w:vAlign w:val="center"/>
            <w:tcMar>
              <w:top w:w="80" w:type="dxa"/>
              <w:bottom w:w="80" w:type="dxa"/>
              <w:start w:w="120" w:type="dxa"/>
              <w:end w:w="120" w:type="dxa"/>
            </w:tcMar>
          </w:tcPr>
          <w:p>
            <w:pPr>
              <w:spacing w:after="0" w:line="240" w:lineRule="auto"/>
            </w:pPr>
            <w:r/>
            <w:r>
              <w:rPr>
                <w:rFonts w:ascii="Calibri" w:hAnsi="Calibri"/>
                <w:color w:val="19212D"/>
                <w:sz w:val="19"/>
              </w:rPr>
              <w:t>HashiCorp</w:t>
            </w:r>
          </w:p>
        </w:tc>
        <w:tc>
          <w:tcPr>
            <w:tcW w:type="dxa" w:w="1700"/>
            <w:vAlign w:val="center"/>
            <w:tcMar>
              <w:top w:w="80" w:type="dxa"/>
              <w:bottom w:w="80" w:type="dxa"/>
              <w:start w:w="120" w:type="dxa"/>
              <w:end w:w="120" w:type="dxa"/>
            </w:tcMar>
          </w:tcPr>
          <w:p>
            <w:pPr>
              <w:spacing w:after="0" w:line="240" w:lineRule="auto"/>
            </w:pPr>
            <w:r/>
            <w:r>
              <w:rPr>
                <w:rFonts w:ascii="Calibri" w:hAnsi="Calibri"/>
                <w:color w:val="19212D"/>
                <w:sz w:val="19"/>
              </w:rPr>
              <w:t>632</w:t>
            </w:r>
          </w:p>
        </w:tc>
        <w:tc>
          <w:tcPr>
            <w:tcW w:type="dxa" w:w="3160"/>
            <w:vAlign w:val="center"/>
            <w:tcMar>
              <w:top w:w="80" w:type="dxa"/>
              <w:bottom w:w="80" w:type="dxa"/>
              <w:start w:w="120" w:type="dxa"/>
              <w:end w:w="120" w:type="dxa"/>
            </w:tcMar>
          </w:tcPr>
          <w:p>
            <w:pPr>
              <w:spacing w:after="0" w:line="240" w:lineRule="auto"/>
            </w:pPr>
            <w:r/>
            <w:r>
              <w:rPr>
                <w:rFonts w:ascii="Calibri" w:hAnsi="Calibri"/>
                <w:color w:val="19212D"/>
                <w:sz w:val="19"/>
              </w:rPr>
              <w:t>57 / 60</w:t>
            </w:r>
          </w:p>
        </w:tc>
      </w:tr>
    </w:tbl>
    <w:p>
      <w:pPr>
        <w:spacing w:after="40"/>
      </w:pPr>
    </w:p>
    <w:p>
      <w:pPr>
        <w:pStyle w:val="Heading2"/>
      </w:pPr>
      <w:r>
        <w:t>Guided Career Paths</w:t>
      </w:r>
    </w:p>
    <w:p>
      <w:r>
        <w:rPr>
          <w:rFonts w:ascii="Calibri" w:hAnsi="Calibri"/>
          <w:color w:val="19212D"/>
          <w:sz w:val="22"/>
        </w:rPr>
        <w:t>The home experience is organized around career direction rather than a wall of vendor logos:</w:t>
      </w:r>
    </w:p>
    <w:p>
      <w:pPr>
        <w:pStyle w:val="ListBullet"/>
      </w:pPr>
      <w:r>
        <w:rPr>
          <w:rFonts w:ascii="Calibri" w:hAnsi="Calibri"/>
          <w:color w:val="19212D"/>
          <w:sz w:val="22"/>
        </w:rPr>
        <w:t>IT Entry: A+ Core 1 and Core 2.</w:t>
      </w:r>
    </w:p>
    <w:p>
      <w:pPr>
        <w:pStyle w:val="ListBullet"/>
      </w:pPr>
      <w:r>
        <w:rPr>
          <w:rFonts w:ascii="Calibri" w:hAnsi="Calibri"/>
          <w:color w:val="19212D"/>
          <w:sz w:val="22"/>
        </w:rPr>
        <w:t>Networking: Network+ or CCST Networking, then CCNA.</w:t>
      </w:r>
    </w:p>
    <w:p>
      <w:pPr>
        <w:pStyle w:val="ListBullet"/>
      </w:pPr>
      <w:r>
        <w:rPr>
          <w:rFonts w:ascii="Calibri" w:hAnsi="Calibri"/>
          <w:color w:val="19212D"/>
          <w:sz w:val="22"/>
        </w:rPr>
        <w:t>Cybersecurity: Network+, Security+, then Splunk Core Certified User.</w:t>
      </w:r>
    </w:p>
    <w:p>
      <w:pPr>
        <w:pStyle w:val="ListBullet"/>
      </w:pPr>
      <w:r>
        <w:rPr>
          <w:rFonts w:ascii="Calibri" w:hAnsi="Calibri"/>
          <w:color w:val="19212D"/>
          <w:sz w:val="22"/>
        </w:rPr>
        <w:t>Cloud: AWS Cloud Practitioner, SAA-C03, then Terraform Associate.</w:t>
      </w:r>
    </w:p>
    <w:p>
      <w:pPr>
        <w:pStyle w:val="ListBullet"/>
      </w:pPr>
      <w:r>
        <w:rPr>
          <w:rFonts w:ascii="Calibri" w:hAnsi="Calibri"/>
          <w:color w:val="19212D"/>
          <w:sz w:val="22"/>
        </w:rPr>
        <w:t>NVIDIA: Linux+, NVIDIA AI Infrastructure, then NVIDIA Generative AI.</w:t>
      </w:r>
    </w:p>
    <w:p>
      <w:pPr>
        <w:pStyle w:val="ListBullet"/>
      </w:pPr>
      <w:r>
        <w:rPr>
          <w:rFonts w:ascii="Calibri" w:hAnsi="Calibri"/>
          <w:color w:val="19212D"/>
          <w:sz w:val="22"/>
        </w:rPr>
        <w:t>Data Center Technician: Server+, Schneider DCCA, then CCNA.</w:t>
      </w:r>
    </w:p>
    <w:p>
      <w:r>
        <w:rPr>
          <w:rFonts w:ascii="Calibri" w:hAnsi="Calibri"/>
          <w:color w:val="19212D"/>
          <w:sz w:val="22"/>
        </w:rPr>
        <w:t>This is strategically stronger than a flat catalog because it helps new learners understand sequence and job relevance.</w:t>
      </w:r>
    </w:p>
    <w:p>
      <w:pPr>
        <w:pStyle w:val="Heading2"/>
      </w:pPr>
      <w:r>
        <w:t>Catalog Page Change Under Review</w:t>
      </w:r>
    </w:p>
    <w:p>
      <w:r>
        <w:rPr>
          <w:rFonts w:ascii="Calibri" w:hAnsi="Calibri"/>
          <w:color w:val="19212D"/>
          <w:sz w:val="22"/>
        </w:rPr>
        <w:t>The current workspace contains a reversible, local-only branch:</w:t>
      </w:r>
    </w:p>
    <w:p>
      <w:pPr>
        <w:pStyle w:val="ListBullet"/>
      </w:pPr>
      <w:r>
        <w:rPr>
          <w:rFonts w:ascii="Calibri" w:hAnsi="Calibri"/>
          <w:color w:val="19212D"/>
          <w:sz w:val="22"/>
        </w:rPr>
        <w:t xml:space="preserve">Branch: </w:t>
      </w:r>
      <w:r>
        <w:rPr>
          <w:rFonts w:ascii="Consolas" w:hAnsi="Consolas"/>
          <w:color w:val="1F4D78"/>
          <w:sz w:val="21"/>
        </w:rPr>
        <w:t>codex/catalog-page-clean-home</w:t>
      </w:r>
    </w:p>
    <w:p>
      <w:pPr>
        <w:pStyle w:val="ListBullet"/>
      </w:pPr>
      <w:r>
        <w:rPr>
          <w:rFonts w:ascii="Calibri" w:hAnsi="Calibri"/>
          <w:color w:val="19212D"/>
          <w:sz w:val="22"/>
        </w:rPr>
        <w:t xml:space="preserve">Commit: </w:t>
      </w:r>
      <w:r>
        <w:rPr>
          <w:rFonts w:ascii="Consolas" w:hAnsi="Consolas"/>
          <w:color w:val="1F4D78"/>
          <w:sz w:val="21"/>
        </w:rPr>
        <w:t>2a46a8e Move catalog to dedicated page</w:t>
      </w:r>
    </w:p>
    <w:p>
      <w:pPr>
        <w:pStyle w:val="ListBullet"/>
      </w:pPr>
      <w:r>
        <w:rPr>
          <w:rFonts w:ascii="Calibri" w:hAnsi="Calibri"/>
          <w:color w:val="19212D"/>
          <w:sz w:val="22"/>
        </w:rPr>
        <w:t xml:space="preserve">Status: committed locally, not pushed to GitHub, not merged into </w:t>
      </w:r>
      <w:r>
        <w:rPr>
          <w:rFonts w:ascii="Consolas" w:hAnsi="Consolas"/>
          <w:color w:val="1F4D78"/>
          <w:sz w:val="21"/>
        </w:rPr>
        <w:t>main</w:t>
      </w:r>
    </w:p>
    <w:p>
      <w:r>
        <w:rPr>
          <w:rFonts w:ascii="Calibri" w:hAnsi="Calibri"/>
          <w:color w:val="19212D"/>
          <w:sz w:val="22"/>
        </w:rPr>
        <w:t xml:space="preserve">This change removes the certification grid and Real Estate bar from the homepage and places them on </w:t>
      </w:r>
      <w:r>
        <w:rPr>
          <w:rFonts w:ascii="Consolas" w:hAnsi="Consolas"/>
          <w:color w:val="1F4D78"/>
          <w:sz w:val="21"/>
        </w:rPr>
        <w:t>/catalog</w:t>
      </w:r>
      <w:r>
        <w:rPr>
          <w:rFonts w:ascii="Calibri" w:hAnsi="Calibri"/>
          <w:color w:val="19212D"/>
          <w:sz w:val="22"/>
        </w:rPr>
        <w:t xml:space="preserve">. Automated tests and local browser verification passed. Production </w:t>
      </w:r>
      <w:r>
        <w:rPr>
          <w:rFonts w:ascii="Consolas" w:hAnsi="Consolas"/>
          <w:color w:val="1F4D78"/>
          <w:sz w:val="21"/>
        </w:rPr>
        <w:t>main</w:t>
      </w:r>
      <w:r>
        <w:rPr>
          <w:rFonts w:ascii="Calibri" w:hAnsi="Calibri"/>
          <w:color w:val="19212D"/>
          <w:sz w:val="22"/>
        </w:rPr>
        <w:t xml:space="preserve"> currently remains at </w:t>
      </w:r>
      <w:r>
        <w:rPr>
          <w:rFonts w:ascii="Consolas" w:hAnsi="Consolas"/>
          <w:color w:val="1F4D78"/>
          <w:sz w:val="21"/>
        </w:rPr>
        <w:t>4bbfa3a</w:t>
      </w:r>
      <w:r>
        <w:rPr>
          <w:rFonts w:ascii="Calibri" w:hAnsi="Calibri"/>
          <w:color w:val="19212D"/>
          <w:sz w:val="22"/>
        </w:rPr>
        <w:t>.</w:t>
      </w:r>
    </w:p>
    <w:p>
      <w:r>
        <w:rPr>
          <w:rFonts w:ascii="Calibri" w:hAnsi="Calibri"/>
          <w:color w:val="19212D"/>
          <w:sz w:val="22"/>
        </w:rPr>
        <w:t>Recommendation: approve the direction, push the branch for review, and merge after one mobile visual check. The separation gives the homepage a clearer job: help uncertain users choose a path. The catalog serves users who already know the exam they want.</w:t>
      </w:r>
    </w:p>
    <w:p>
      <w:pPr>
        <w:pStyle w:val="Heading1"/>
      </w:pPr>
      <w:r>
        <w:t>Real Estate Sister Product</w:t>
      </w:r>
    </w:p>
    <w:p>
      <w:r>
        <w:rPr>
          <w:rFonts w:ascii="Calibri" w:hAnsi="Calibri"/>
          <w:color w:val="19212D"/>
          <w:sz w:val="22"/>
        </w:rPr>
        <w:t>The Real Estate product proves that the engine can support a different audience, visual system, taxonomy, and exam-composition model.</w:t>
      </w:r>
    </w:p>
    <w:tbl>
      <w:tblPr>
        <w:tblStyle w:val="TableGrid"/>
        <w:tblW w:type="dxa" w:w="9360"/>
        <w:jc w:val="left"/>
        <w:tblLayout w:type="fixed"/>
        <w:tblLook w:firstColumn="1" w:firstRow="1" w:lastColumn="0" w:lastRow="0" w:noHBand="0" w:noVBand="1" w:val="04A0"/>
        <w:tblInd w:w="120" w:type="dxa"/>
      </w:tblPr>
      <w:tblGrid>
        <w:gridCol w:w="2500"/>
        <w:gridCol w:w="1800"/>
        <w:gridCol w:w="5060"/>
      </w:tblGrid>
      <w:tr>
        <w:trPr>
          <w:tblHeader w:val="true"/>
        </w:trPr>
        <w:tc>
          <w:tcPr>
            <w:tcW w:type="dxa" w:w="2500"/>
            <w:shd w:fill="F2F4F7"/>
            <w:vAlign w:val="center"/>
            <w:tcMar>
              <w:top w:w="80" w:type="dxa"/>
              <w:bottom w:w="80" w:type="dxa"/>
              <w:start w:w="120" w:type="dxa"/>
              <w:end w:w="120" w:type="dxa"/>
            </w:tcMar>
          </w:tcPr>
          <w:p>
            <w:pPr>
              <w:spacing w:after="0" w:line="240" w:lineRule="auto"/>
            </w:pPr>
            <w:r>
              <w:rPr>
                <w:b/>
                <w:color w:val="1F4D78"/>
              </w:rPr>
            </w:r>
            <w:r>
              <w:rPr>
                <w:rFonts w:ascii="Calibri" w:hAnsi="Calibri"/>
                <w:b/>
                <w:color w:val="1F4D78"/>
                <w:sz w:val="20"/>
              </w:rPr>
              <w:t>Module</w:t>
            </w:r>
          </w:p>
        </w:tc>
        <w:tc>
          <w:tcPr>
            <w:tcW w:type="dxa" w:w="1800"/>
            <w:shd w:fill="F2F4F7"/>
            <w:vAlign w:val="center"/>
            <w:tcMar>
              <w:top w:w="80" w:type="dxa"/>
              <w:bottom w:w="80" w:type="dxa"/>
              <w:start w:w="120" w:type="dxa"/>
              <w:end w:w="120" w:type="dxa"/>
            </w:tcMar>
          </w:tcPr>
          <w:p>
            <w:pPr>
              <w:spacing w:after="0" w:line="240" w:lineRule="auto"/>
            </w:pPr>
            <w:r>
              <w:rPr>
                <w:b/>
                <w:color w:val="1F4D78"/>
              </w:rPr>
            </w:r>
            <w:r>
              <w:rPr>
                <w:rFonts w:ascii="Calibri" w:hAnsi="Calibri"/>
                <w:b/>
                <w:color w:val="1F4D78"/>
                <w:sz w:val="20"/>
              </w:rPr>
              <w:t>Question Bank</w:t>
            </w:r>
          </w:p>
        </w:tc>
        <w:tc>
          <w:tcPr>
            <w:tcW w:type="dxa" w:w="5060"/>
            <w:shd w:fill="F2F4F7"/>
            <w:vAlign w:val="center"/>
            <w:tcMar>
              <w:top w:w="80" w:type="dxa"/>
              <w:bottom w:w="80" w:type="dxa"/>
              <w:start w:w="120" w:type="dxa"/>
              <w:end w:w="120" w:type="dxa"/>
            </w:tcMar>
          </w:tcPr>
          <w:p>
            <w:pPr>
              <w:spacing w:after="0" w:line="240" w:lineRule="auto"/>
            </w:pPr>
            <w:r>
              <w:rPr>
                <w:b/>
                <w:color w:val="1F4D78"/>
              </w:rPr>
            </w:r>
            <w:r>
              <w:rPr>
                <w:rFonts w:ascii="Calibri" w:hAnsi="Calibri"/>
                <w:b/>
                <w:color w:val="1F4D78"/>
                <w:sz w:val="20"/>
              </w:rPr>
              <w:t>Full Simulator</w:t>
            </w:r>
          </w:p>
        </w:tc>
      </w:tr>
      <w:tr>
        <w:tc>
          <w:tcPr>
            <w:tcW w:type="dxa" w:w="2500"/>
            <w:vAlign w:val="center"/>
            <w:tcMar>
              <w:top w:w="80" w:type="dxa"/>
              <w:bottom w:w="80" w:type="dxa"/>
              <w:start w:w="120" w:type="dxa"/>
              <w:end w:w="120" w:type="dxa"/>
            </w:tcMar>
          </w:tcPr>
          <w:p>
            <w:pPr>
              <w:spacing w:after="0" w:line="240" w:lineRule="auto"/>
            </w:pPr>
            <w:r/>
            <w:r>
              <w:rPr>
                <w:rFonts w:ascii="Calibri" w:hAnsi="Calibri"/>
                <w:color w:val="19212D"/>
                <w:sz w:val="20"/>
              </w:rPr>
              <w:t>National salesperson</w:t>
            </w:r>
          </w:p>
        </w:tc>
        <w:tc>
          <w:tcPr>
            <w:tcW w:type="dxa" w:w="1800"/>
            <w:vAlign w:val="center"/>
            <w:tcMar>
              <w:top w:w="80" w:type="dxa"/>
              <w:bottom w:w="80" w:type="dxa"/>
              <w:start w:w="120" w:type="dxa"/>
              <w:end w:w="120" w:type="dxa"/>
            </w:tcMar>
          </w:tcPr>
          <w:p>
            <w:pPr>
              <w:spacing w:after="0" w:line="240" w:lineRule="auto"/>
            </w:pPr>
            <w:r/>
            <w:r>
              <w:rPr>
                <w:rFonts w:ascii="Calibri" w:hAnsi="Calibri"/>
                <w:color w:val="19212D"/>
                <w:sz w:val="20"/>
              </w:rPr>
              <w:t>750</w:t>
            </w:r>
          </w:p>
        </w:tc>
        <w:tc>
          <w:tcPr>
            <w:tcW w:type="dxa" w:w="5060"/>
            <w:vAlign w:val="center"/>
            <w:tcMar>
              <w:top w:w="80" w:type="dxa"/>
              <w:bottom w:w="80" w:type="dxa"/>
              <w:start w:w="120" w:type="dxa"/>
              <w:end w:w="120" w:type="dxa"/>
            </w:tcMar>
          </w:tcPr>
          <w:p>
            <w:pPr>
              <w:spacing w:after="0" w:line="240" w:lineRule="auto"/>
            </w:pPr>
            <w:r/>
            <w:r>
              <w:rPr>
                <w:rFonts w:ascii="Calibri" w:hAnsi="Calibri"/>
                <w:color w:val="19212D"/>
                <w:sz w:val="20"/>
              </w:rPr>
              <w:t>80 national</w:t>
            </w:r>
          </w:p>
        </w:tc>
      </w:tr>
      <w:tr>
        <w:tc>
          <w:tcPr>
            <w:tcW w:type="dxa" w:w="2500"/>
            <w:shd w:fill="FAFBFC"/>
            <w:vAlign w:val="center"/>
            <w:tcMar>
              <w:top w:w="80" w:type="dxa"/>
              <w:bottom w:w="80" w:type="dxa"/>
              <w:start w:w="120" w:type="dxa"/>
              <w:end w:w="120" w:type="dxa"/>
            </w:tcMar>
          </w:tcPr>
          <w:p>
            <w:pPr>
              <w:spacing w:after="0" w:line="240" w:lineRule="auto"/>
            </w:pPr>
            <w:r/>
            <w:r>
              <w:rPr>
                <w:rFonts w:ascii="Calibri" w:hAnsi="Calibri"/>
                <w:color w:val="19212D"/>
                <w:sz w:val="20"/>
              </w:rPr>
              <w:t>Texas</w:t>
            </w:r>
          </w:p>
        </w:tc>
        <w:tc>
          <w:tcPr>
            <w:tcW w:type="dxa" w:w="1800"/>
            <w:shd w:fill="FAFBFC"/>
            <w:vAlign w:val="center"/>
            <w:tcMar>
              <w:top w:w="80" w:type="dxa"/>
              <w:bottom w:w="80" w:type="dxa"/>
              <w:start w:w="120" w:type="dxa"/>
              <w:end w:w="120" w:type="dxa"/>
            </w:tcMar>
          </w:tcPr>
          <w:p>
            <w:pPr>
              <w:spacing w:after="0" w:line="240" w:lineRule="auto"/>
            </w:pPr>
            <w:r/>
            <w:r>
              <w:rPr>
                <w:rFonts w:ascii="Calibri" w:hAnsi="Calibri"/>
                <w:color w:val="19212D"/>
                <w:sz w:val="20"/>
              </w:rPr>
              <w:t>401 state</w:t>
            </w:r>
          </w:p>
        </w:tc>
        <w:tc>
          <w:tcPr>
            <w:tcW w:type="dxa" w:w="5060"/>
            <w:shd w:fill="FAFBFC"/>
            <w:vAlign w:val="center"/>
            <w:tcMar>
              <w:top w:w="80" w:type="dxa"/>
              <w:bottom w:w="80" w:type="dxa"/>
              <w:start w:w="120" w:type="dxa"/>
              <w:end w:w="120" w:type="dxa"/>
            </w:tcMar>
          </w:tcPr>
          <w:p>
            <w:pPr>
              <w:spacing w:after="0" w:line="240" w:lineRule="auto"/>
            </w:pPr>
            <w:r/>
            <w:r>
              <w:rPr>
                <w:rFonts w:ascii="Calibri" w:hAnsi="Calibri"/>
                <w:color w:val="19212D"/>
                <w:sz w:val="20"/>
              </w:rPr>
              <w:t>85 national + 50 state</w:t>
            </w:r>
          </w:p>
        </w:tc>
      </w:tr>
      <w:tr>
        <w:tc>
          <w:tcPr>
            <w:tcW w:type="dxa" w:w="2500"/>
            <w:vAlign w:val="center"/>
            <w:tcMar>
              <w:top w:w="80" w:type="dxa"/>
              <w:bottom w:w="80" w:type="dxa"/>
              <w:start w:w="120" w:type="dxa"/>
              <w:end w:w="120" w:type="dxa"/>
            </w:tcMar>
          </w:tcPr>
          <w:p>
            <w:pPr>
              <w:spacing w:after="0" w:line="240" w:lineRule="auto"/>
            </w:pPr>
            <w:r/>
            <w:r>
              <w:rPr>
                <w:rFonts w:ascii="Calibri" w:hAnsi="Calibri"/>
                <w:color w:val="19212D"/>
                <w:sz w:val="20"/>
              </w:rPr>
              <w:t>Maine</w:t>
            </w:r>
          </w:p>
        </w:tc>
        <w:tc>
          <w:tcPr>
            <w:tcW w:type="dxa" w:w="1800"/>
            <w:vAlign w:val="center"/>
            <w:tcMar>
              <w:top w:w="80" w:type="dxa"/>
              <w:bottom w:w="80" w:type="dxa"/>
              <w:start w:w="120" w:type="dxa"/>
              <w:end w:w="120" w:type="dxa"/>
            </w:tcMar>
          </w:tcPr>
          <w:p>
            <w:pPr>
              <w:spacing w:after="0" w:line="240" w:lineRule="auto"/>
            </w:pPr>
            <w:r/>
            <w:r>
              <w:rPr>
                <w:rFonts w:ascii="Calibri" w:hAnsi="Calibri"/>
                <w:color w:val="19212D"/>
                <w:sz w:val="20"/>
              </w:rPr>
              <w:t>400 state</w:t>
            </w:r>
          </w:p>
        </w:tc>
        <w:tc>
          <w:tcPr>
            <w:tcW w:type="dxa" w:w="5060"/>
            <w:vAlign w:val="center"/>
            <w:tcMar>
              <w:top w:w="80" w:type="dxa"/>
              <w:bottom w:w="80" w:type="dxa"/>
              <w:start w:w="120" w:type="dxa"/>
              <w:end w:w="120" w:type="dxa"/>
            </w:tcMar>
          </w:tcPr>
          <w:p>
            <w:pPr>
              <w:spacing w:after="0" w:line="240" w:lineRule="auto"/>
            </w:pPr>
            <w:r/>
            <w:r>
              <w:rPr>
                <w:rFonts w:ascii="Calibri" w:hAnsi="Calibri"/>
                <w:color w:val="19212D"/>
                <w:sz w:val="20"/>
              </w:rPr>
              <w:t>80 national + 40 state</w:t>
            </w:r>
          </w:p>
        </w:tc>
      </w:tr>
      <w:tr>
        <w:tc>
          <w:tcPr>
            <w:tcW w:type="dxa" w:w="2500"/>
            <w:shd w:fill="FAFBFC"/>
            <w:vAlign w:val="center"/>
            <w:tcMar>
              <w:top w:w="80" w:type="dxa"/>
              <w:bottom w:w="80" w:type="dxa"/>
              <w:start w:w="120" w:type="dxa"/>
              <w:end w:w="120" w:type="dxa"/>
            </w:tcMar>
          </w:tcPr>
          <w:p>
            <w:pPr>
              <w:spacing w:after="0" w:line="240" w:lineRule="auto"/>
            </w:pPr>
            <w:r/>
            <w:r>
              <w:rPr>
                <w:rFonts w:ascii="Calibri" w:hAnsi="Calibri"/>
                <w:color w:val="19212D"/>
                <w:sz w:val="20"/>
              </w:rPr>
              <w:t>Georgia</w:t>
            </w:r>
          </w:p>
        </w:tc>
        <w:tc>
          <w:tcPr>
            <w:tcW w:type="dxa" w:w="1800"/>
            <w:shd w:fill="FAFBFC"/>
            <w:vAlign w:val="center"/>
            <w:tcMar>
              <w:top w:w="80" w:type="dxa"/>
              <w:bottom w:w="80" w:type="dxa"/>
              <w:start w:w="120" w:type="dxa"/>
              <w:end w:w="120" w:type="dxa"/>
            </w:tcMar>
          </w:tcPr>
          <w:p>
            <w:pPr>
              <w:spacing w:after="0" w:line="240" w:lineRule="auto"/>
            </w:pPr>
            <w:r/>
            <w:r>
              <w:rPr>
                <w:rFonts w:ascii="Calibri" w:hAnsi="Calibri"/>
                <w:color w:val="19212D"/>
                <w:sz w:val="20"/>
              </w:rPr>
              <w:t>400 state</w:t>
            </w:r>
          </w:p>
        </w:tc>
        <w:tc>
          <w:tcPr>
            <w:tcW w:type="dxa" w:w="5060"/>
            <w:shd w:fill="FAFBFC"/>
            <w:vAlign w:val="center"/>
            <w:tcMar>
              <w:top w:w="80" w:type="dxa"/>
              <w:bottom w:w="80" w:type="dxa"/>
              <w:start w:w="120" w:type="dxa"/>
              <w:end w:w="120" w:type="dxa"/>
            </w:tcMar>
          </w:tcPr>
          <w:p>
            <w:pPr>
              <w:spacing w:after="0" w:line="240" w:lineRule="auto"/>
            </w:pPr>
            <w:r/>
            <w:r>
              <w:rPr>
                <w:rFonts w:ascii="Calibri" w:hAnsi="Calibri"/>
                <w:color w:val="19212D"/>
                <w:sz w:val="20"/>
              </w:rPr>
              <w:t>100 national + 52 state</w:t>
            </w:r>
          </w:p>
        </w:tc>
      </w:tr>
      <w:tr>
        <w:tc>
          <w:tcPr>
            <w:tcW w:type="dxa" w:w="2500"/>
            <w:vAlign w:val="center"/>
            <w:tcMar>
              <w:top w:w="80" w:type="dxa"/>
              <w:bottom w:w="80" w:type="dxa"/>
              <w:start w:w="120" w:type="dxa"/>
              <w:end w:w="120" w:type="dxa"/>
            </w:tcMar>
          </w:tcPr>
          <w:p>
            <w:pPr>
              <w:spacing w:after="0" w:line="240" w:lineRule="auto"/>
            </w:pPr>
            <w:r/>
            <w:r>
              <w:rPr>
                <w:rFonts w:ascii="Calibri" w:hAnsi="Calibri"/>
                <w:color w:val="19212D"/>
                <w:sz w:val="20"/>
              </w:rPr>
              <w:t>Arizona</w:t>
            </w:r>
          </w:p>
        </w:tc>
        <w:tc>
          <w:tcPr>
            <w:tcW w:type="dxa" w:w="1800"/>
            <w:vAlign w:val="center"/>
            <w:tcMar>
              <w:top w:w="80" w:type="dxa"/>
              <w:bottom w:w="80" w:type="dxa"/>
              <w:start w:w="120" w:type="dxa"/>
              <w:end w:w="120" w:type="dxa"/>
            </w:tcMar>
          </w:tcPr>
          <w:p>
            <w:pPr>
              <w:spacing w:after="0" w:line="240" w:lineRule="auto"/>
            </w:pPr>
            <w:r/>
            <w:r>
              <w:rPr>
                <w:rFonts w:ascii="Calibri" w:hAnsi="Calibri"/>
                <w:color w:val="19212D"/>
                <w:sz w:val="20"/>
              </w:rPr>
              <w:t>400 state</w:t>
            </w:r>
          </w:p>
        </w:tc>
        <w:tc>
          <w:tcPr>
            <w:tcW w:type="dxa" w:w="5060"/>
            <w:vAlign w:val="center"/>
            <w:tcMar>
              <w:top w:w="80" w:type="dxa"/>
              <w:bottom w:w="80" w:type="dxa"/>
              <w:start w:w="120" w:type="dxa"/>
              <w:end w:w="120" w:type="dxa"/>
            </w:tcMar>
          </w:tcPr>
          <w:p>
            <w:pPr>
              <w:spacing w:after="0" w:line="240" w:lineRule="auto"/>
            </w:pPr>
            <w:r/>
            <w:r>
              <w:rPr>
                <w:rFonts w:ascii="Calibri" w:hAnsi="Calibri"/>
                <w:color w:val="19212D"/>
                <w:sz w:val="20"/>
              </w:rPr>
              <w:t>80 national + 60 state</w:t>
            </w:r>
          </w:p>
        </w:tc>
      </w:tr>
      <w:tr>
        <w:tc>
          <w:tcPr>
            <w:tcW w:type="dxa" w:w="2500"/>
            <w:shd w:fill="FAFBFC"/>
            <w:vAlign w:val="center"/>
            <w:tcMar>
              <w:top w:w="80" w:type="dxa"/>
              <w:bottom w:w="80" w:type="dxa"/>
              <w:start w:w="120" w:type="dxa"/>
              <w:end w:w="120" w:type="dxa"/>
            </w:tcMar>
          </w:tcPr>
          <w:p>
            <w:pPr>
              <w:spacing w:after="0" w:line="240" w:lineRule="auto"/>
            </w:pPr>
            <w:r/>
            <w:r>
              <w:rPr>
                <w:rFonts w:ascii="Calibri" w:hAnsi="Calibri"/>
                <w:color w:val="19212D"/>
                <w:sz w:val="20"/>
              </w:rPr>
              <w:t>North Carolina</w:t>
            </w:r>
          </w:p>
        </w:tc>
        <w:tc>
          <w:tcPr>
            <w:tcW w:type="dxa" w:w="1800"/>
            <w:shd w:fill="FAFBFC"/>
            <w:vAlign w:val="center"/>
            <w:tcMar>
              <w:top w:w="80" w:type="dxa"/>
              <w:bottom w:w="80" w:type="dxa"/>
              <w:start w:w="120" w:type="dxa"/>
              <w:end w:w="120" w:type="dxa"/>
            </w:tcMar>
          </w:tcPr>
          <w:p>
            <w:pPr>
              <w:spacing w:after="0" w:line="240" w:lineRule="auto"/>
            </w:pPr>
            <w:r/>
            <w:r>
              <w:rPr>
                <w:rFonts w:ascii="Calibri" w:hAnsi="Calibri"/>
                <w:color w:val="19212D"/>
                <w:sz w:val="20"/>
              </w:rPr>
              <w:t>400 state</w:t>
            </w:r>
          </w:p>
        </w:tc>
        <w:tc>
          <w:tcPr>
            <w:tcW w:type="dxa" w:w="5060"/>
            <w:shd w:fill="FAFBFC"/>
            <w:vAlign w:val="center"/>
            <w:tcMar>
              <w:top w:w="80" w:type="dxa"/>
              <w:bottom w:w="80" w:type="dxa"/>
              <w:start w:w="120" w:type="dxa"/>
              <w:end w:w="120" w:type="dxa"/>
            </w:tcMar>
          </w:tcPr>
          <w:p>
            <w:pPr>
              <w:spacing w:after="0" w:line="240" w:lineRule="auto"/>
            </w:pPr>
            <w:r/>
            <w:r>
              <w:rPr>
                <w:rFonts w:ascii="Calibri" w:hAnsi="Calibri"/>
                <w:color w:val="19212D"/>
                <w:sz w:val="20"/>
              </w:rPr>
              <w:t>80 national + 60 state</w:t>
            </w:r>
          </w:p>
        </w:tc>
      </w:tr>
      <w:tr>
        <w:tc>
          <w:tcPr>
            <w:tcW w:type="dxa" w:w="2500"/>
            <w:vAlign w:val="center"/>
            <w:tcMar>
              <w:top w:w="80" w:type="dxa"/>
              <w:bottom w:w="80" w:type="dxa"/>
              <w:start w:w="120" w:type="dxa"/>
              <w:end w:w="120" w:type="dxa"/>
            </w:tcMar>
          </w:tcPr>
          <w:p>
            <w:pPr>
              <w:spacing w:after="0" w:line="240" w:lineRule="auto"/>
            </w:pPr>
            <w:r/>
            <w:r>
              <w:rPr>
                <w:rFonts w:ascii="Calibri" w:hAnsi="Calibri"/>
                <w:color w:val="19212D"/>
                <w:sz w:val="20"/>
              </w:rPr>
              <w:t>Indiana</w:t>
            </w:r>
          </w:p>
        </w:tc>
        <w:tc>
          <w:tcPr>
            <w:tcW w:type="dxa" w:w="1800"/>
            <w:vAlign w:val="center"/>
            <w:tcMar>
              <w:top w:w="80" w:type="dxa"/>
              <w:bottom w:w="80" w:type="dxa"/>
              <w:start w:w="120" w:type="dxa"/>
              <w:end w:w="120" w:type="dxa"/>
            </w:tcMar>
          </w:tcPr>
          <w:p>
            <w:pPr>
              <w:spacing w:after="0" w:line="240" w:lineRule="auto"/>
            </w:pPr>
            <w:r/>
            <w:r>
              <w:rPr>
                <w:rFonts w:ascii="Calibri" w:hAnsi="Calibri"/>
                <w:color w:val="19212D"/>
                <w:sz w:val="20"/>
              </w:rPr>
              <w:t>400 state</w:t>
            </w:r>
          </w:p>
        </w:tc>
        <w:tc>
          <w:tcPr>
            <w:tcW w:type="dxa" w:w="5060"/>
            <w:vAlign w:val="center"/>
            <w:tcMar>
              <w:top w:w="80" w:type="dxa"/>
              <w:bottom w:w="80" w:type="dxa"/>
              <w:start w:w="120" w:type="dxa"/>
              <w:end w:w="120" w:type="dxa"/>
            </w:tcMar>
          </w:tcPr>
          <w:p>
            <w:pPr>
              <w:spacing w:after="0" w:line="240" w:lineRule="auto"/>
            </w:pPr>
            <w:r/>
            <w:r>
              <w:rPr>
                <w:rFonts w:ascii="Calibri" w:hAnsi="Calibri"/>
                <w:color w:val="19212D"/>
                <w:sz w:val="20"/>
              </w:rPr>
              <w:t>80 national + 50 state</w:t>
            </w:r>
          </w:p>
        </w:tc>
      </w:tr>
    </w:tbl>
    <w:p>
      <w:pPr>
        <w:spacing w:after="40"/>
      </w:pPr>
    </w:p>
    <w:p>
      <w:r>
        <w:rPr>
          <w:rFonts w:ascii="Calibri" w:hAnsi="Calibri"/>
          <w:color w:val="19212D"/>
          <w:sz w:val="22"/>
        </w:rPr>
        <w:t>The layered national-plus-state architecture is a real platform advantage. It avoids duplicating the national bank for every state while preserving state-specific practice and full licensing simulations.</w:t>
      </w:r>
    </w:p>
    <w:p>
      <w:r>
        <w:rPr>
          <w:rFonts w:ascii="Calibri" w:hAnsi="Calibri"/>
          <w:color w:val="19212D"/>
          <w:sz w:val="22"/>
        </w:rPr>
        <w:t>However, the product should not claim uniform source confidence across every module. The internal audit notes that Georgia still needs a current, stable official PSI/GREC bulletin pinned before it should be described as publication-ready with the same confidence as the best-audited modules.</w:t>
      </w:r>
    </w:p>
    <w:p>
      <w:r>
        <w:rPr>
          <w:rFonts w:ascii="Calibri" w:hAnsi="Calibri"/>
          <w:color w:val="19212D"/>
          <w:sz w:val="22"/>
        </w:rPr>
        <w:t>The Real Estate landing page also contains a notify form that only acknowledges submission in the browser. It does not save or transmit the email or state. This should either be connected to a real consent-based list or removed, because the current interaction can create a false expectation.</w:t>
      </w:r>
    </w:p>
    <w:p>
      <w:r>
        <w:br w:type="page"/>
      </w:r>
    </w:p>
    <w:p>
      <w:pPr>
        <w:pStyle w:val="Heading1"/>
      </w:pPr>
      <w:r>
        <w:t>Recent Development Program</w:t>
      </w:r>
    </w:p>
    <w:p>
      <w:r>
        <w:rPr>
          <w:rFonts w:ascii="Calibri" w:hAnsi="Calibri"/>
          <w:color w:val="19212D"/>
          <w:sz w:val="22"/>
        </w:rPr>
        <w:t>The repository shows unusually high implementation velocity:</w:t>
      </w:r>
    </w:p>
    <w:p>
      <w:pPr>
        <w:pStyle w:val="ListBullet"/>
      </w:pPr>
      <w:r>
        <w:rPr>
          <w:rFonts w:ascii="Calibri" w:hAnsi="Calibri"/>
          <w:color w:val="19212D"/>
          <w:sz w:val="22"/>
        </w:rPr>
        <w:t>181 commits since April 1, 2026.</w:t>
      </w:r>
    </w:p>
    <w:p>
      <w:pPr>
        <w:pStyle w:val="ListBullet"/>
      </w:pPr>
      <w:r>
        <w:rPr>
          <w:rFonts w:ascii="Calibri" w:hAnsi="Calibri"/>
          <w:color w:val="19212D"/>
          <w:sz w:val="22"/>
        </w:rPr>
        <w:t>194 commits attributed to the primary repository author across all history.</w:t>
      </w:r>
    </w:p>
    <w:p>
      <w:pPr>
        <w:pStyle w:val="ListBullet"/>
      </w:pPr>
      <w:r>
        <w:rPr>
          <w:rFonts w:ascii="Calibri" w:hAnsi="Calibri"/>
          <w:color w:val="19212D"/>
          <w:sz w:val="22"/>
        </w:rPr>
        <w:t>Major growth from a small cloud-cert prototype into a multi-provider catalog and second product vertical.</w:t>
      </w:r>
    </w:p>
    <w:p>
      <w:pPr>
        <w:pStyle w:val="Heading2"/>
      </w:pPr>
      <w:r>
        <w:t>Major Milestones</w:t>
      </w:r>
    </w:p>
    <w:p>
      <w:r>
        <w:rPr>
          <w:rFonts w:ascii="Calibri" w:hAnsi="Calibri"/>
          <w:color w:val="19212D"/>
          <w:sz w:val="22"/>
        </w:rPr>
        <w:t>#### April 2026: Product Foundation</w:t>
      </w:r>
    </w:p>
    <w:p>
      <w:pPr>
        <w:pStyle w:val="ListBullet"/>
      </w:pPr>
      <w:r>
        <w:rPr>
          <w:rFonts w:ascii="Calibri" w:hAnsi="Calibri"/>
          <w:color w:val="19212D"/>
          <w:sz w:val="22"/>
        </w:rPr>
        <w:t>Expanded initial AWS, Azure, and Google Cloud pools.</w:t>
      </w:r>
    </w:p>
    <w:p>
      <w:pPr>
        <w:pStyle w:val="ListBullet"/>
      </w:pPr>
      <w:r>
        <w:rPr>
          <w:rFonts w:ascii="Calibri" w:hAnsi="Calibri"/>
          <w:color w:val="19212D"/>
          <w:sz w:val="22"/>
        </w:rPr>
        <w:t>Added matching and ordering question types.</w:t>
      </w:r>
    </w:p>
    <w:p>
      <w:pPr>
        <w:pStyle w:val="ListBullet"/>
      </w:pPr>
      <w:r>
        <w:rPr>
          <w:rFonts w:ascii="Calibri" w:hAnsi="Calibri"/>
          <w:color w:val="19212D"/>
          <w:sz w:val="22"/>
        </w:rPr>
        <w:t>Added answer shuffling and weighted exam selection.</w:t>
      </w:r>
    </w:p>
    <w:p>
      <w:pPr>
        <w:pStyle w:val="ListBullet"/>
      </w:pPr>
      <w:r>
        <w:rPr>
          <w:rFonts w:ascii="Calibri" w:hAnsi="Calibri"/>
          <w:color w:val="19212D"/>
          <w:sz w:val="22"/>
        </w:rPr>
        <w:t>Added bookmarks, review, import/export, tests, Smart Practice, and timed drills.</w:t>
      </w:r>
    </w:p>
    <w:p>
      <w:pPr>
        <w:pStyle w:val="ListBullet"/>
      </w:pPr>
      <w:r>
        <w:rPr>
          <w:rFonts w:ascii="Calibri" w:hAnsi="Calibri"/>
          <w:color w:val="19212D"/>
          <w:sz w:val="22"/>
        </w:rPr>
        <w:t>Added product documentation and initial frontend restructuring.</w:t>
      </w:r>
    </w:p>
    <w:p>
      <w:r>
        <w:rPr>
          <w:rFonts w:ascii="Calibri" w:hAnsi="Calibri"/>
          <w:color w:val="19212D"/>
          <w:sz w:val="22"/>
        </w:rPr>
        <w:t>#### May 2026: Catalog and Platform Expansion</w:t>
      </w:r>
    </w:p>
    <w:p>
      <w:pPr>
        <w:pStyle w:val="ListBullet"/>
      </w:pPr>
      <w:r>
        <w:rPr>
          <w:rFonts w:ascii="Calibri" w:hAnsi="Calibri"/>
          <w:color w:val="19212D"/>
          <w:sz w:val="22"/>
        </w:rPr>
        <w:t>Shipped Network+, Security+, Server+, A+ Core 1/Core 2, CCST, Terraform, SAA, Splunk, Linux+, DCCA, and CCNA.</w:t>
      </w:r>
    </w:p>
    <w:p>
      <w:pPr>
        <w:pStyle w:val="ListBullet"/>
      </w:pPr>
      <w:r>
        <w:rPr>
          <w:rFonts w:ascii="Calibri" w:hAnsi="Calibri"/>
          <w:color w:val="19212D"/>
          <w:sz w:val="22"/>
        </w:rPr>
        <w:t>Built the Real Estate sister site, national pool, licensing composition engine, and six state-law modules.</w:t>
      </w:r>
    </w:p>
    <w:p>
      <w:pPr>
        <w:pStyle w:val="ListBullet"/>
      </w:pPr>
      <w:r>
        <w:rPr>
          <w:rFonts w:ascii="Calibri" w:hAnsi="Calibri"/>
          <w:color w:val="19212D"/>
          <w:sz w:val="22"/>
        </w:rPr>
        <w:t>Added route-level lazy loading, JSON question assets, shared storage helpers, resilience handling, SEO metadata, and CI.</w:t>
      </w:r>
    </w:p>
    <w:p>
      <w:pPr>
        <w:pStyle w:val="ListBullet"/>
      </w:pPr>
      <w:r>
        <w:rPr>
          <w:rFonts w:ascii="Calibri" w:hAnsi="Calibri"/>
          <w:color w:val="19212D"/>
          <w:sz w:val="22"/>
        </w:rPr>
        <w:t>Redesigned the study workspace and homepage around career paths.</w:t>
      </w:r>
    </w:p>
    <w:p>
      <w:pPr>
        <w:pStyle w:val="ListBullet"/>
      </w:pPr>
      <w:r>
        <w:rPr>
          <w:rFonts w:ascii="Calibri" w:hAnsi="Calibri"/>
          <w:color w:val="19212D"/>
          <w:sz w:val="22"/>
        </w:rPr>
        <w:t>Added advanced question types for CLI output, topology scenarios, configuration repair, subnetting, and PBQ-style matching.</w:t>
      </w:r>
    </w:p>
    <w:p>
      <w:pPr>
        <w:pStyle w:val="ListBullet"/>
      </w:pPr>
      <w:r>
        <w:rPr>
          <w:rFonts w:ascii="Calibri" w:hAnsi="Calibri"/>
          <w:color w:val="19212D"/>
          <w:sz w:val="22"/>
        </w:rPr>
        <w:t>Completed several blueprint and weighting audits.</w:t>
      </w:r>
    </w:p>
    <w:p>
      <w:pPr>
        <w:pStyle w:val="Heading2"/>
      </w:pPr>
      <w:r>
        <w:t>Assessment of Velocity</w:t>
      </w:r>
    </w:p>
    <w:p>
      <w:r>
        <w:rPr>
          <w:rFonts w:ascii="Calibri" w:hAnsi="Calibri"/>
          <w:color w:val="19212D"/>
          <w:sz w:val="22"/>
        </w:rPr>
        <w:t>The velocity has created a broad product rapidly, but it also explains the present editorial and governance debt. Continued expansion at this pace would increase the amount of content requiring maintenance faster than the project can credibly review it.</w:t>
      </w:r>
    </w:p>
    <w:p>
      <w:r>
        <w:br w:type="page"/>
      </w:r>
    </w:p>
    <w:p>
      <w:pPr>
        <w:pStyle w:val="Heading1"/>
      </w:pPr>
      <w:r>
        <w:t>Product and Technical Architecture</w:t>
      </w:r>
    </w:p>
    <w:p>
      <w:pPr>
        <w:pStyle w:val="Heading2"/>
      </w:pPr>
      <w:r>
        <w:t>Strengths</w:t>
      </w:r>
    </w:p>
    <w:p>
      <w:pPr>
        <w:pStyle w:val="ListBullet"/>
      </w:pPr>
      <w:r>
        <w:rPr>
          <w:rFonts w:ascii="Calibri" w:hAnsi="Calibri"/>
          <w:color w:val="19212D"/>
          <w:sz w:val="22"/>
        </w:rPr>
        <w:t>React 19, Vite 8, React Router 7, and Tailwind CSS 4.</w:t>
      </w:r>
    </w:p>
    <w:p>
      <w:pPr>
        <w:pStyle w:val="ListBullet"/>
      </w:pPr>
      <w:r>
        <w:rPr>
          <w:rFonts w:ascii="Calibri" w:hAnsi="Calibri"/>
          <w:color w:val="19212D"/>
          <w:sz w:val="22"/>
        </w:rPr>
        <w:t>Shared certification registry drives domains, weights, colors, exam settings, and question loading.</w:t>
      </w:r>
    </w:p>
    <w:p>
      <w:pPr>
        <w:pStyle w:val="ListBullet"/>
      </w:pPr>
      <w:r>
        <w:rPr>
          <w:rFonts w:ascii="Calibri" w:hAnsi="Calibri"/>
          <w:color w:val="19212D"/>
          <w:sz w:val="22"/>
        </w:rPr>
        <w:t>Question banks are lazy-loaded JSON assets, reducing initial page load.</w:t>
      </w:r>
    </w:p>
    <w:p>
      <w:pPr>
        <w:pStyle w:val="ListBullet"/>
      </w:pPr>
      <w:r>
        <w:rPr>
          <w:rFonts w:ascii="Calibri" w:hAnsi="Calibri"/>
          <w:color w:val="19212D"/>
          <w:sz w:val="22"/>
        </w:rPr>
        <w:t>Shared hooks isolate progress, bookmarks, question statistics, exam sessions, and practice sessions.</w:t>
      </w:r>
    </w:p>
    <w:p>
      <w:pPr>
        <w:pStyle w:val="ListBullet"/>
      </w:pPr>
      <w:r>
        <w:rPr>
          <w:rFonts w:ascii="Calibri" w:hAnsi="Calibri"/>
          <w:color w:val="19212D"/>
          <w:sz w:val="22"/>
        </w:rPr>
        <w:t>Smart Practice uses weighted reservoir sampling to prioritize weak questions.</w:t>
      </w:r>
    </w:p>
    <w:p>
      <w:pPr>
        <w:pStyle w:val="ListBullet"/>
      </w:pPr>
      <w:r>
        <w:rPr>
          <w:rFonts w:ascii="Calibri" w:hAnsi="Calibri"/>
          <w:color w:val="19212D"/>
          <w:sz w:val="22"/>
        </w:rPr>
        <w:t>Storage is centralized and versioned, with guarded localStorage access and cross-tab synchronization.</w:t>
      </w:r>
    </w:p>
    <w:p>
      <w:pPr>
        <w:pStyle w:val="ListBullet"/>
      </w:pPr>
      <w:r>
        <w:rPr>
          <w:rFonts w:ascii="Calibri" w:hAnsi="Calibri"/>
          <w:color w:val="19212D"/>
          <w:sz w:val="22"/>
        </w:rPr>
        <w:t>Import/export gives users a manual backup path.</w:t>
      </w:r>
    </w:p>
    <w:p>
      <w:pPr>
        <w:pStyle w:val="ListBullet"/>
      </w:pPr>
      <w:r>
        <w:rPr>
          <w:rFonts w:ascii="Calibri" w:hAnsi="Calibri"/>
          <w:color w:val="19212D"/>
          <w:sz w:val="22"/>
        </w:rPr>
        <w:t>A root error boundary prevents blank-page failures.</w:t>
      </w:r>
    </w:p>
    <w:p>
      <w:pPr>
        <w:pStyle w:val="ListBullet"/>
      </w:pPr>
      <w:r>
        <w:rPr>
          <w:rFonts w:ascii="Calibri" w:hAnsi="Calibri"/>
          <w:color w:val="19212D"/>
          <w:sz w:val="22"/>
        </w:rPr>
        <w:t>Failed question-bank imports surface recoverable errors.</w:t>
      </w:r>
    </w:p>
    <w:p>
      <w:pPr>
        <w:pStyle w:val="ListBullet"/>
      </w:pPr>
      <w:r>
        <w:rPr>
          <w:rFonts w:ascii="Calibri" w:hAnsi="Calibri"/>
          <w:color w:val="19212D"/>
          <w:sz w:val="22"/>
        </w:rPr>
        <w:t>Real Estate reuses the engine without forking the core logic.</w:t>
      </w:r>
    </w:p>
    <w:p>
      <w:pPr>
        <w:pStyle w:val="ListBullet"/>
      </w:pPr>
      <w:r>
        <w:rPr>
          <w:rFonts w:ascii="Calibri" w:hAnsi="Calibri"/>
          <w:color w:val="19212D"/>
          <w:sz w:val="22"/>
        </w:rPr>
        <w:t>CI runs lint, the complete test suite, and a production build on main and pull requests.</w:t>
      </w:r>
    </w:p>
    <w:p>
      <w:pPr>
        <w:pStyle w:val="Heading2"/>
      </w:pPr>
      <w:r>
        <w:t>Current Scale</w:t>
      </w:r>
    </w:p>
    <w:p>
      <w:pPr>
        <w:pStyle w:val="ListBullet"/>
      </w:pPr>
      <w:r>
        <w:rPr>
          <w:rFonts w:ascii="Calibri" w:hAnsi="Calibri"/>
          <w:color w:val="19212D"/>
          <w:sz w:val="22"/>
        </w:rPr>
        <w:t xml:space="preserve">102 files under </w:t>
      </w:r>
      <w:r>
        <w:rPr>
          <w:rFonts w:ascii="Consolas" w:hAnsi="Consolas"/>
          <w:color w:val="1F4D78"/>
          <w:sz w:val="21"/>
        </w:rPr>
        <w:t>src</w:t>
      </w:r>
      <w:r>
        <w:rPr>
          <w:rFonts w:ascii="Calibri" w:hAnsi="Calibri"/>
          <w:color w:val="19212D"/>
          <w:sz w:val="22"/>
        </w:rPr>
        <w:t>.</w:t>
      </w:r>
    </w:p>
    <w:p>
      <w:pPr>
        <w:pStyle w:val="ListBullet"/>
      </w:pPr>
      <w:r>
        <w:rPr>
          <w:rFonts w:ascii="Calibri" w:hAnsi="Calibri"/>
          <w:color w:val="19212D"/>
          <w:sz w:val="22"/>
        </w:rPr>
        <w:t>Approximately 10,777 JavaScript/JSX source lines.</w:t>
      </w:r>
    </w:p>
    <w:p>
      <w:pPr>
        <w:pStyle w:val="ListBullet"/>
      </w:pPr>
      <w:r>
        <w:rPr>
          <w:rFonts w:ascii="Calibri" w:hAnsi="Calibri"/>
          <w:color w:val="19212D"/>
          <w:sz w:val="22"/>
        </w:rPr>
        <w:t>13.1 MB of authored JSON question data.</w:t>
      </w:r>
    </w:p>
    <w:p>
      <w:pPr>
        <w:pStyle w:val="ListBullet"/>
      </w:pPr>
      <w:r>
        <w:rPr>
          <w:rFonts w:ascii="Calibri" w:hAnsi="Calibri"/>
          <w:color w:val="19212D"/>
          <w:sz w:val="22"/>
        </w:rPr>
        <w:t>26 test files.</w:t>
      </w:r>
    </w:p>
    <w:p>
      <w:pPr>
        <w:pStyle w:val="ListBullet"/>
      </w:pPr>
      <w:r>
        <w:rPr>
          <w:rFonts w:ascii="Calibri" w:hAnsi="Calibri"/>
          <w:color w:val="19212D"/>
          <w:sz w:val="22"/>
        </w:rPr>
        <w:t>908 passing tests as of the latest verified local run.</w:t>
      </w:r>
    </w:p>
    <w:p>
      <w:pPr>
        <w:pStyle w:val="Heading2"/>
      </w:pPr>
      <w:r>
        <w:t>Build Profile</w:t>
      </w:r>
    </w:p>
    <w:p>
      <w:r>
        <w:rPr>
          <w:rFonts w:ascii="Calibri" w:hAnsi="Calibri"/>
          <w:color w:val="19212D"/>
          <w:sz w:val="22"/>
        </w:rPr>
        <w:t>The build is healthy and question banks are emitted as separate assets. The largest raw question assets are:</w:t>
      </w:r>
    </w:p>
    <w:p>
      <w:pPr>
        <w:pStyle w:val="ListBullet"/>
      </w:pPr>
      <w:r>
        <w:rPr>
          <w:rFonts w:ascii="Calibri" w:hAnsi="Calibri"/>
          <w:color w:val="19212D"/>
          <w:sz w:val="22"/>
        </w:rPr>
        <w:t>SAA-C03: approximately 1.70 MB raw, approximately 92 KB compressed.</w:t>
      </w:r>
    </w:p>
    <w:p>
      <w:pPr>
        <w:pStyle w:val="ListBullet"/>
      </w:pPr>
      <w:r>
        <w:rPr>
          <w:rFonts w:ascii="Calibri" w:hAnsi="Calibri"/>
          <w:color w:val="19212D"/>
          <w:sz w:val="22"/>
        </w:rPr>
        <w:t>Real Estate National: approximately 1.02 MB raw, approximately 305 KB compressed.</w:t>
      </w:r>
    </w:p>
    <w:p>
      <w:pPr>
        <w:pStyle w:val="ListBullet"/>
      </w:pPr>
      <w:r>
        <w:rPr>
          <w:rFonts w:ascii="Calibri" w:hAnsi="Calibri"/>
          <w:color w:val="19212D"/>
          <w:sz w:val="22"/>
        </w:rPr>
        <w:t>CCNA: approximately 0.82 MB raw, approximately 33 KB compressed.</w:t>
      </w:r>
    </w:p>
    <w:p>
      <w:r>
        <w:rPr>
          <w:rFonts w:ascii="Calibri" w:hAnsi="Calibri"/>
          <w:color w:val="19212D"/>
          <w:sz w:val="22"/>
        </w:rPr>
        <w:t>The main application bundle is approximately 364 KB raw / 111 KB compressed. The dashboard bundle is approximately 448 KB raw / 131 KB compressed, largely reflecting charting and dashboard functionality.</w:t>
      </w:r>
    </w:p>
    <w:p>
      <w:r>
        <w:rPr>
          <w:rFonts w:ascii="Calibri" w:hAnsi="Calibri"/>
          <w:color w:val="19212D"/>
          <w:sz w:val="22"/>
        </w:rPr>
        <w:t>This remains compatible with inexpensive static hosting. A backend is not required to operate the current product.</w:t>
      </w:r>
    </w:p>
    <w:p>
      <w:r>
        <w:br w:type="page"/>
      </w:r>
    </w:p>
    <w:p>
      <w:pPr>
        <w:pStyle w:val="Heading1"/>
      </w:pPr>
      <w:r>
        <w:t>Quality Review</w:t>
      </w:r>
    </w:p>
    <w:p>
      <w:pPr>
        <w:pStyle w:val="Heading2"/>
      </w:pPr>
      <w:r>
        <w:t>Automated Quality Strengths</w:t>
      </w:r>
    </w:p>
    <w:p>
      <w:r>
        <w:rPr>
          <w:rFonts w:ascii="Calibri" w:hAnsi="Calibri"/>
          <w:color w:val="19212D"/>
          <w:sz w:val="22"/>
        </w:rPr>
        <w:t>The content test suite is a meaningful differentiator. It checks:</w:t>
      </w:r>
    </w:p>
    <w:p>
      <w:pPr>
        <w:pStyle w:val="ListBullet"/>
      </w:pPr>
      <w:r>
        <w:rPr>
          <w:rFonts w:ascii="Calibri" w:hAnsi="Calibri"/>
          <w:color w:val="19212D"/>
          <w:sz w:val="22"/>
        </w:rPr>
        <w:t>Question-bank count against registry declarations.</w:t>
      </w:r>
    </w:p>
    <w:p>
      <w:pPr>
        <w:pStyle w:val="ListBullet"/>
      </w:pPr>
      <w:r>
        <w:rPr>
          <w:rFonts w:ascii="Calibri" w:hAnsi="Calibri"/>
          <w:color w:val="19212D"/>
          <w:sz w:val="22"/>
        </w:rPr>
        <w:t>Unique IDs.</w:t>
      </w:r>
    </w:p>
    <w:p>
      <w:pPr>
        <w:pStyle w:val="ListBullet"/>
      </w:pPr>
      <w:r>
        <w:rPr>
          <w:rFonts w:ascii="Calibri" w:hAnsi="Calibri"/>
          <w:color w:val="19212D"/>
          <w:sz w:val="22"/>
        </w:rPr>
        <w:t>Valid domains.</w:t>
      </w:r>
    </w:p>
    <w:p>
      <w:pPr>
        <w:pStyle w:val="ListBullet"/>
      </w:pPr>
      <w:r>
        <w:rPr>
          <w:rFonts w:ascii="Calibri" w:hAnsi="Calibri"/>
          <w:color w:val="19212D"/>
          <w:sz w:val="22"/>
        </w:rPr>
        <w:t>Valid question types.</w:t>
      </w:r>
    </w:p>
    <w:p>
      <w:pPr>
        <w:pStyle w:val="ListBullet"/>
      </w:pPr>
      <w:r>
        <w:rPr>
          <w:rFonts w:ascii="Calibri" w:hAnsi="Calibri"/>
          <w:color w:val="19212D"/>
          <w:sz w:val="22"/>
        </w:rPr>
        <w:t>Correct-answer bounds.</w:t>
      </w:r>
    </w:p>
    <w:p>
      <w:pPr>
        <w:pStyle w:val="ListBullet"/>
      </w:pPr>
      <w:r>
        <w:rPr>
          <w:rFonts w:ascii="Calibri" w:hAnsi="Calibri"/>
          <w:color w:val="19212D"/>
          <w:sz w:val="22"/>
        </w:rPr>
        <w:t>Required fields for specialized question types.</w:t>
      </w:r>
    </w:p>
    <w:p>
      <w:pPr>
        <w:pStyle w:val="ListBullet"/>
      </w:pPr>
      <w:r>
        <w:rPr>
          <w:rFonts w:ascii="Calibri" w:hAnsi="Calibri"/>
          <w:color w:val="19212D"/>
          <w:sz w:val="22"/>
        </w:rPr>
        <w:t>Explanation presence and minimum standards.</w:t>
      </w:r>
    </w:p>
    <w:p>
      <w:pPr>
        <w:pStyle w:val="ListBullet"/>
      </w:pPr>
      <w:r>
        <w:rPr>
          <w:rFonts w:ascii="Calibri" w:hAnsi="Calibri"/>
          <w:color w:val="19212D"/>
          <w:sz w:val="22"/>
        </w:rPr>
        <w:t>Domain weighting.</w:t>
      </w:r>
    </w:p>
    <w:p>
      <w:pPr>
        <w:pStyle w:val="ListBullet"/>
      </w:pPr>
      <w:r>
        <w:rPr>
          <w:rFonts w:ascii="Calibri" w:hAnsi="Calibri"/>
          <w:color w:val="19212D"/>
          <w:sz w:val="22"/>
        </w:rPr>
        <w:t>Answer-position balance in targeted banks.</w:t>
      </w:r>
    </w:p>
    <w:p>
      <w:pPr>
        <w:pStyle w:val="ListBullet"/>
      </w:pPr>
      <w:r>
        <w:rPr>
          <w:rFonts w:ascii="Calibri" w:hAnsi="Calibri"/>
          <w:color w:val="19212D"/>
          <w:sz w:val="22"/>
        </w:rPr>
        <w:t>Advanced simulation schemas.</w:t>
      </w:r>
    </w:p>
    <w:p>
      <w:pPr>
        <w:pStyle w:val="ListBullet"/>
      </w:pPr>
      <w:r>
        <w:rPr>
          <w:rFonts w:ascii="Calibri" w:hAnsi="Calibri"/>
          <w:color w:val="19212D"/>
          <w:sz w:val="22"/>
        </w:rPr>
        <w:t>Publication visibility.</w:t>
      </w:r>
    </w:p>
    <w:p>
      <w:r>
        <w:rPr>
          <w:rFonts w:ascii="Calibri" w:hAnsi="Calibri"/>
          <w:color w:val="19212D"/>
          <w:sz w:val="22"/>
        </w:rPr>
        <w:t>This is far stronger than treating question JSON as unvalidated content.</w:t>
      </w:r>
    </w:p>
    <w:p>
      <w:pPr>
        <w:pStyle w:val="Heading2"/>
      </w:pPr>
      <w:r>
        <w:t>Stronger Content Areas</w:t>
      </w:r>
    </w:p>
    <w:p>
      <w:pPr>
        <w:pStyle w:val="ListBullet"/>
      </w:pPr>
      <w:r>
        <w:rPr>
          <w:rFonts w:ascii="Calibri" w:hAnsi="Calibri"/>
          <w:color w:val="19212D"/>
          <w:sz w:val="22"/>
        </w:rPr>
        <w:t>SAA-C03 has exact official domain weighting, unique stems, balanced answers, five-option multiple-response questions, and structured review explanations.</w:t>
      </w:r>
    </w:p>
    <w:p>
      <w:pPr>
        <w:pStyle w:val="ListBullet"/>
      </w:pPr>
      <w:r>
        <w:rPr>
          <w:rFonts w:ascii="Calibri" w:hAnsi="Calibri"/>
          <w:color w:val="19212D"/>
          <w:sz w:val="22"/>
        </w:rPr>
        <w:t>CCNA is aligned to the current 200-301 v2.0 five-domain blueprint and includes a strong simulation mix.</w:t>
      </w:r>
    </w:p>
    <w:p>
      <w:pPr>
        <w:pStyle w:val="ListBullet"/>
      </w:pPr>
      <w:r>
        <w:rPr>
          <w:rFonts w:ascii="Calibri" w:hAnsi="Calibri"/>
          <w:color w:val="19212D"/>
          <w:sz w:val="22"/>
        </w:rPr>
        <w:t>Splunk has exact blueprint distribution and relatively low normalized duplication.</w:t>
      </w:r>
    </w:p>
    <w:p>
      <w:pPr>
        <w:pStyle w:val="ListBullet"/>
      </w:pPr>
      <w:r>
        <w:rPr>
          <w:rFonts w:ascii="Calibri" w:hAnsi="Calibri"/>
          <w:color w:val="19212D"/>
          <w:sz w:val="22"/>
        </w:rPr>
        <w:t>Network+, Google CDL, NVIDIA AIIO, and AZ-900 received recent blueprint rebalancing.</w:t>
      </w:r>
    </w:p>
    <w:p>
      <w:pPr>
        <w:pStyle w:val="ListBullet"/>
      </w:pPr>
      <w:r>
        <w:rPr>
          <w:rFonts w:ascii="Calibri" w:hAnsi="Calibri"/>
          <w:color w:val="19212D"/>
          <w:sz w:val="22"/>
        </w:rPr>
        <w:t>A+ Core 1/Core 2 and Server+ are close to official weighting targets.</w:t>
      </w:r>
    </w:p>
    <w:p>
      <w:pPr>
        <w:pStyle w:val="Heading2"/>
      </w:pPr>
      <w:r>
        <w:t>Content Areas Requiring Work</w:t>
      </w:r>
    </w:p>
    <w:p>
      <w:r>
        <w:rPr>
          <w:rFonts w:ascii="Calibri" w:hAnsi="Calibri"/>
          <w:color w:val="19212D"/>
          <w:sz w:val="22"/>
        </w:rPr>
        <w:t>#### Linux+</w:t>
      </w:r>
    </w:p>
    <w:p>
      <w:r>
        <w:rPr>
          <w:rFonts w:ascii="Calibri" w:hAnsi="Calibri"/>
          <w:color w:val="19212D"/>
          <w:sz w:val="22"/>
        </w:rPr>
        <w:t>The recent audit found that much of the 750-question pool uses repetitive single-choice framing and generic distractors. The CLI and configuration-repair items are useful, but the bank does not yet meet the strongest editorial standard of the product.</w:t>
      </w:r>
    </w:p>
    <w:p>
      <w:r>
        <w:rPr>
          <w:rFonts w:ascii="Calibri" w:hAnsi="Calibri"/>
          <w:color w:val="19212D"/>
          <w:sz w:val="22"/>
        </w:rPr>
        <w:t>#### Schneider DCCA</w:t>
      </w:r>
    </w:p>
    <w:p>
      <w:r>
        <w:rPr>
          <w:rFonts w:ascii="Calibri" w:hAnsi="Calibri"/>
          <w:color w:val="19212D"/>
          <w:sz w:val="22"/>
        </w:rPr>
        <w:t>The bank covers the expected vendor learning areas, but normalized duplicate analysis found heavy stem repetition. Many questions differ mainly by ticket or case identifiers. Distractors can be too obvious.</w:t>
      </w:r>
    </w:p>
    <w:p>
      <w:r>
        <w:rPr>
          <w:rFonts w:ascii="Calibri" w:hAnsi="Calibri"/>
          <w:color w:val="19212D"/>
          <w:sz w:val="22"/>
        </w:rPr>
        <w:t>#### Splunk</w:t>
      </w:r>
    </w:p>
    <w:p>
      <w:r>
        <w:rPr>
          <w:rFonts w:ascii="Calibri" w:hAnsi="Calibri"/>
          <w:color w:val="19212D"/>
          <w:sz w:val="22"/>
        </w:rPr>
        <w:t>Blueprint fit is strong. The remaining work is natural-language cleanup and stronger why-right/why-wrong explanations.</w:t>
      </w:r>
    </w:p>
    <w:p>
      <w:r>
        <w:rPr>
          <w:rFonts w:ascii="Calibri" w:hAnsi="Calibri"/>
          <w:color w:val="19212D"/>
          <w:sz w:val="22"/>
        </w:rPr>
        <w:t>#### Real Estate</w:t>
      </w:r>
    </w:p>
    <w:p>
      <w:r>
        <w:rPr>
          <w:rFonts w:ascii="Calibri" w:hAnsi="Calibri"/>
          <w:color w:val="19212D"/>
          <w:sz w:val="22"/>
        </w:rPr>
        <w:t>The national and state banks require a unified re-audit with pinned source versions and review dates. Internal audit notes are not fully consistent about which modules are considered complete.</w:t>
      </w:r>
    </w:p>
    <w:p>
      <w:pPr>
        <w:pStyle w:val="Heading2"/>
      </w:pPr>
      <w:r>
        <w:t>Recommended Editorial Rule</w:t>
      </w:r>
    </w:p>
    <w:p>
      <w:r>
        <w:rPr>
          <w:rFonts w:ascii="Calibri" w:hAnsi="Calibri"/>
          <w:color w:val="19212D"/>
          <w:sz w:val="22"/>
        </w:rPr>
        <w:t>Do not add another 600-750 question bank until:</w:t>
      </w:r>
    </w:p>
    <w:p>
      <w:pPr>
        <w:pStyle w:val="ListNumber"/>
      </w:pPr>
      <w:r>
        <w:rPr>
          <w:rFonts w:ascii="Calibri" w:hAnsi="Calibri"/>
          <w:color w:val="19212D"/>
          <w:sz w:val="22"/>
        </w:rPr>
        <w:t>Linux+ receives a scenario and distractor rewrite.</w:t>
      </w:r>
    </w:p>
    <w:p>
      <w:pPr>
        <w:pStyle w:val="ListNumber"/>
      </w:pPr>
      <w:r>
        <w:rPr>
          <w:rFonts w:ascii="Calibri" w:hAnsi="Calibri"/>
          <w:color w:val="19212D"/>
          <w:sz w:val="22"/>
        </w:rPr>
        <w:t>DCCA normalized repetition is materially reduced.</w:t>
      </w:r>
    </w:p>
    <w:p>
      <w:pPr>
        <w:pStyle w:val="ListNumber"/>
      </w:pPr>
      <w:r>
        <w:rPr>
          <w:rFonts w:ascii="Calibri" w:hAnsi="Calibri"/>
          <w:color w:val="19212D"/>
          <w:sz w:val="22"/>
        </w:rPr>
        <w:t>Splunk synthetic ticket phrasing is removed.</w:t>
      </w:r>
    </w:p>
    <w:p>
      <w:pPr>
        <w:pStyle w:val="ListNumber"/>
      </w:pPr>
      <w:r>
        <w:rPr>
          <w:rFonts w:ascii="Calibri" w:hAnsi="Calibri"/>
          <w:color w:val="19212D"/>
          <w:sz w:val="22"/>
        </w:rPr>
        <w:t>Real Estate source status is reconciled.</w:t>
      </w:r>
    </w:p>
    <w:p>
      <w:pPr>
        <w:pStyle w:val="ListNumber"/>
      </w:pPr>
      <w:r>
        <w:rPr>
          <w:rFonts w:ascii="Calibri" w:hAnsi="Calibri"/>
          <w:color w:val="19212D"/>
          <w:sz w:val="22"/>
        </w:rPr>
        <w:t>Automated checks reject synthetic markers, normalized duplicate clusters, and repeated generic distractors.</w:t>
      </w:r>
    </w:p>
    <w:p>
      <w:r>
        <w:br w:type="page"/>
      </w:r>
    </w:p>
    <w:p>
      <w:pPr>
        <w:pStyle w:val="Heading1"/>
      </w:pPr>
      <w:r>
        <w:t>Key Risks</w:t>
      </w:r>
    </w:p>
    <w:p>
      <w:pPr>
        <w:pStyle w:val="Heading2"/>
      </w:pPr>
      <w:r>
        <w:t>1. Dependency Security - Immediate</w:t>
      </w:r>
    </w:p>
    <w:p>
      <w:r>
        <w:rPr>
          <w:rFonts w:ascii="Consolas" w:hAnsi="Consolas"/>
          <w:color w:val="1F4D78"/>
          <w:sz w:val="21"/>
        </w:rPr>
        <w:t>npm audit --omit=dev</w:t>
      </w:r>
      <w:r>
        <w:rPr>
          <w:rFonts w:ascii="Calibri" w:hAnsi="Calibri"/>
          <w:color w:val="19212D"/>
          <w:sz w:val="22"/>
        </w:rPr>
        <w:t xml:space="preserve"> currently reports two high-severity production dependency findings affecting the installed React Router chain. Fixes are available.</w:t>
      </w:r>
    </w:p>
    <w:p>
      <w:r>
        <w:rPr>
          <w:rFonts w:ascii="Calibri" w:hAnsi="Calibri"/>
          <w:color w:val="19212D"/>
          <w:sz w:val="22"/>
        </w:rPr>
        <w:t>The application is a client-rendered SPA, so some server-specific exploit paths may not apply directly. That does not justify carrying known vulnerable versions. React Router should be upgraded and the full test/build/browser suite rerun before the next production release.</w:t>
      </w:r>
    </w:p>
    <w:p>
      <w:pPr>
        <w:pStyle w:val="Heading2"/>
      </w:pPr>
      <w:r>
        <w:t>2. Trust and Content Provenance - High</w:t>
      </w:r>
    </w:p>
    <w:p>
      <w:r>
        <w:rPr>
          <w:rFonts w:ascii="Calibri" w:hAnsi="Calibri"/>
          <w:color w:val="19212D"/>
          <w:sz w:val="22"/>
        </w:rPr>
        <w:t>The site makes strong accuracy and exam-alignment claims, but there is no backend-supported system for:</w:t>
      </w:r>
    </w:p>
    <w:p>
      <w:pPr>
        <w:pStyle w:val="ListBullet"/>
      </w:pPr>
      <w:r>
        <w:rPr>
          <w:rFonts w:ascii="Calibri" w:hAnsi="Calibri"/>
          <w:color w:val="19212D"/>
          <w:sz w:val="22"/>
        </w:rPr>
        <w:t>Reporting a questionable item.</w:t>
      </w:r>
    </w:p>
    <w:p>
      <w:pPr>
        <w:pStyle w:val="ListBullet"/>
      </w:pPr>
      <w:r>
        <w:rPr>
          <w:rFonts w:ascii="Calibri" w:hAnsi="Calibri"/>
          <w:color w:val="19212D"/>
          <w:sz w:val="22"/>
        </w:rPr>
        <w:t>Recording the source used for a question or domain.</w:t>
      </w:r>
    </w:p>
    <w:p>
      <w:pPr>
        <w:pStyle w:val="ListBullet"/>
      </w:pPr>
      <w:r>
        <w:rPr>
          <w:rFonts w:ascii="Calibri" w:hAnsi="Calibri"/>
          <w:color w:val="19212D"/>
          <w:sz w:val="22"/>
        </w:rPr>
        <w:t>Showing when a blueprint was last verified.</w:t>
      </w:r>
    </w:p>
    <w:p>
      <w:pPr>
        <w:pStyle w:val="ListBullet"/>
      </w:pPr>
      <w:r>
        <w:rPr>
          <w:rFonts w:ascii="Calibri" w:hAnsi="Calibri"/>
          <w:color w:val="19212D"/>
          <w:sz w:val="22"/>
        </w:rPr>
        <w:t>Tracking editorial status.</w:t>
      </w:r>
    </w:p>
    <w:p>
      <w:pPr>
        <w:pStyle w:val="ListBullet"/>
      </w:pPr>
      <w:r>
        <w:rPr>
          <w:rFonts w:ascii="Calibri" w:hAnsi="Calibri"/>
          <w:color w:val="19212D"/>
          <w:sz w:val="22"/>
        </w:rPr>
        <w:t>Recording corrections.</w:t>
      </w:r>
    </w:p>
    <w:p>
      <w:pPr>
        <w:pStyle w:val="ListBullet"/>
      </w:pPr>
      <w:r>
        <w:rPr>
          <w:rFonts w:ascii="Calibri" w:hAnsi="Calibri"/>
          <w:color w:val="19212D"/>
          <w:sz w:val="22"/>
        </w:rPr>
        <w:t>Identifying the reviewer.</w:t>
      </w:r>
    </w:p>
    <w:p>
      <w:r>
        <w:rPr>
          <w:rFonts w:ascii="Calibri" w:hAnsi="Calibri"/>
          <w:color w:val="19212D"/>
          <w:sz w:val="22"/>
        </w:rPr>
        <w:t>This is the most important platform gap because the catalog is now too large to manage through memory and ad hoc documents.</w:t>
      </w:r>
    </w:p>
    <w:p>
      <w:pPr>
        <w:pStyle w:val="Heading2"/>
      </w:pPr>
      <w:r>
        <w:t>3. Editorial Consistency - High</w:t>
      </w:r>
    </w:p>
    <w:p>
      <w:r>
        <w:rPr>
          <w:rFonts w:ascii="Calibri" w:hAnsi="Calibri"/>
          <w:color w:val="19212D"/>
          <w:sz w:val="22"/>
        </w:rPr>
        <w:t>Some live banks are technically valid but visibly generated. If learners encounter repeated stems or implausible distractors, the trust cost affects the entire brand, including stronger banks.</w:t>
      </w:r>
    </w:p>
    <w:p>
      <w:pPr>
        <w:pStyle w:val="Heading2"/>
      </w:pPr>
      <w:r>
        <w:t>4. Documentation and Metadata Drift - High</w:t>
      </w:r>
    </w:p>
    <w:p>
      <w:r>
        <w:rPr>
          <w:rFonts w:ascii="Calibri" w:hAnsi="Calibri"/>
          <w:color w:val="19212D"/>
          <w:sz w:val="22"/>
        </w:rPr>
        <w:t>Examples found during this review:</w:t>
      </w:r>
    </w:p>
    <w:p>
      <w:pPr>
        <w:pStyle w:val="ListBullet"/>
      </w:pPr>
      <w:r>
        <w:rPr>
          <w:rFonts w:ascii="Consolas" w:hAnsi="Consolas"/>
          <w:color w:val="1F4D78"/>
          <w:sz w:val="21"/>
        </w:rPr>
        <w:t>index.html</w:t>
      </w:r>
      <w:r>
        <w:rPr>
          <w:rFonts w:ascii="Calibri" w:hAnsi="Calibri"/>
          <w:color w:val="19212D"/>
          <w:sz w:val="22"/>
        </w:rPr>
        <w:t xml:space="preserve"> still advertises approximately 5,800 questions, while the IT catalog alone has 11,629.</w:t>
      </w:r>
    </w:p>
    <w:p>
      <w:pPr>
        <w:pStyle w:val="ListBullet"/>
      </w:pPr>
      <w:r>
        <w:rPr>
          <w:rFonts w:ascii="Calibri" w:hAnsi="Calibri"/>
          <w:color w:val="19212D"/>
          <w:sz w:val="22"/>
        </w:rPr>
        <w:t>Static social descriptions omit many current providers and offerings.</w:t>
      </w:r>
    </w:p>
    <w:p>
      <w:pPr>
        <w:pStyle w:val="ListBullet"/>
      </w:pPr>
      <w:r>
        <w:rPr>
          <w:rFonts w:ascii="Calibri" w:hAnsi="Calibri"/>
          <w:color w:val="19212D"/>
          <w:sz w:val="22"/>
        </w:rPr>
        <w:t>README and Docs test counts have lagged the current 908-test suite.</w:t>
      </w:r>
    </w:p>
    <w:p>
      <w:pPr>
        <w:pStyle w:val="ListBullet"/>
      </w:pPr>
      <w:r>
        <w:rPr>
          <w:rFonts w:ascii="Calibri" w:hAnsi="Calibri"/>
          <w:color w:val="19212D"/>
          <w:sz w:val="22"/>
        </w:rPr>
        <w:t xml:space="preserve">The roadmap references a future </w:t>
      </w:r>
      <w:r>
        <w:rPr>
          <w:rFonts w:ascii="Consolas" w:hAnsi="Consolas"/>
          <w:color w:val="1F4D78"/>
          <w:sz w:val="21"/>
        </w:rPr>
        <w:t>freecertprep.org</w:t>
      </w:r>
      <w:r>
        <w:rPr>
          <w:rFonts w:ascii="Calibri" w:hAnsi="Calibri"/>
          <w:color w:val="19212D"/>
          <w:sz w:val="22"/>
        </w:rPr>
        <w:t xml:space="preserve"> custom domain while canonical metadata uses </w:t>
      </w:r>
      <w:r>
        <w:rPr>
          <w:rFonts w:ascii="Consolas" w:hAnsi="Consolas"/>
          <w:color w:val="1F4D78"/>
          <w:sz w:val="21"/>
        </w:rPr>
        <w:t>freecertprep.com</w:t>
      </w:r>
      <w:r>
        <w:rPr>
          <w:rFonts w:ascii="Calibri" w:hAnsi="Calibri"/>
          <w:color w:val="19212D"/>
          <w:sz w:val="22"/>
        </w:rPr>
        <w:t>.</w:t>
      </w:r>
    </w:p>
    <w:p>
      <w:pPr>
        <w:pStyle w:val="ListBullet"/>
      </w:pPr>
      <w:r>
        <w:rPr>
          <w:rFonts w:ascii="Calibri" w:hAnsi="Calibri"/>
          <w:color w:val="19212D"/>
          <w:sz w:val="22"/>
        </w:rPr>
        <w:t>Some Real Estate audit language conflicts with current registry configuration or later audits.</w:t>
      </w:r>
    </w:p>
    <w:p>
      <w:r>
        <w:rPr>
          <w:rFonts w:ascii="Calibri" w:hAnsi="Calibri"/>
          <w:color w:val="19212D"/>
          <w:sz w:val="22"/>
        </w:rPr>
        <w:t>This should be solved with generated stats and a single operational source of truth rather than recurring manual edits.</w:t>
      </w:r>
    </w:p>
    <w:p>
      <w:pPr>
        <w:pStyle w:val="Heading2"/>
      </w:pPr>
      <w:r>
        <w:t>5. Privacy Claim Precision - High</w:t>
      </w:r>
    </w:p>
    <w:p>
      <w:r>
        <w:rPr>
          <w:rFonts w:ascii="Calibri" w:hAnsi="Calibri"/>
          <w:color w:val="19212D"/>
          <w:sz w:val="22"/>
        </w:rPr>
        <w:t xml:space="preserve">The product repeatedly says that no data leaves the device. Study progress does remain local, but the homepage makes a request to </w:t>
      </w:r>
      <w:r>
        <w:rPr>
          <w:rFonts w:ascii="Consolas" w:hAnsi="Consolas"/>
          <w:color w:val="1F4D78"/>
          <w:sz w:val="21"/>
        </w:rPr>
        <w:t>counterapi.dev</w:t>
      </w:r>
      <w:r>
        <w:rPr>
          <w:rFonts w:ascii="Calibri" w:hAnsi="Calibri"/>
          <w:color w:val="19212D"/>
          <w:sz w:val="22"/>
        </w:rPr>
        <w:t>, and Google Fonts are loaded from Google.</w:t>
      </w:r>
    </w:p>
    <w:p>
      <w:r>
        <w:rPr>
          <w:rFonts w:ascii="Calibri" w:hAnsi="Calibri"/>
          <w:color w:val="19212D"/>
          <w:sz w:val="22"/>
        </w:rPr>
        <w:t>The claim should be narrowed to: "Your study progress and answers are stored locally and are not sent to freecertprep servers." A privacy page should disclose third-party network requests.</w:t>
      </w:r>
    </w:p>
    <w:p>
      <w:pPr>
        <w:pStyle w:val="Heading2"/>
      </w:pPr>
      <w:r>
        <w:t>6. No Product Analytics - High</w:t>
      </w:r>
    </w:p>
    <w:p>
      <w:r>
        <w:rPr>
          <w:rFonts w:ascii="Calibri" w:hAnsi="Calibri"/>
          <w:color w:val="19212D"/>
          <w:sz w:val="22"/>
        </w:rPr>
        <w:t>The visitor counter does not answer:</w:t>
      </w:r>
    </w:p>
    <w:p>
      <w:pPr>
        <w:pStyle w:val="ListBullet"/>
      </w:pPr>
      <w:r>
        <w:rPr>
          <w:rFonts w:ascii="Calibri" w:hAnsi="Calibri"/>
          <w:color w:val="19212D"/>
          <w:sz w:val="22"/>
        </w:rPr>
        <w:t>Which certifications attract users.</w:t>
      </w:r>
    </w:p>
    <w:p>
      <w:pPr>
        <w:pStyle w:val="ListBullet"/>
      </w:pPr>
      <w:r>
        <w:rPr>
          <w:rFonts w:ascii="Calibri" w:hAnsi="Calibri"/>
          <w:color w:val="19212D"/>
          <w:sz w:val="22"/>
        </w:rPr>
        <w:t>Whether users begin a quiz or exam.</w:t>
      </w:r>
    </w:p>
    <w:p>
      <w:pPr>
        <w:pStyle w:val="ListBullet"/>
      </w:pPr>
      <w:r>
        <w:rPr>
          <w:rFonts w:ascii="Calibri" w:hAnsi="Calibri"/>
          <w:color w:val="19212D"/>
          <w:sz w:val="22"/>
        </w:rPr>
        <w:t>Completion rates.</w:t>
      </w:r>
    </w:p>
    <w:p>
      <w:pPr>
        <w:pStyle w:val="ListBullet"/>
      </w:pPr>
      <w:r>
        <w:rPr>
          <w:rFonts w:ascii="Calibri" w:hAnsi="Calibri"/>
          <w:color w:val="19212D"/>
          <w:sz w:val="22"/>
        </w:rPr>
        <w:t>Return frequency.</w:t>
      </w:r>
    </w:p>
    <w:p>
      <w:pPr>
        <w:pStyle w:val="ListBullet"/>
      </w:pPr>
      <w:r>
        <w:rPr>
          <w:rFonts w:ascii="Calibri" w:hAnsi="Calibri"/>
          <w:color w:val="19212D"/>
          <w:sz w:val="22"/>
        </w:rPr>
        <w:t>Weak points in the funnel.</w:t>
      </w:r>
    </w:p>
    <w:p>
      <w:pPr>
        <w:pStyle w:val="ListBullet"/>
      </w:pPr>
      <w:r>
        <w:rPr>
          <w:rFonts w:ascii="Calibri" w:hAnsi="Calibri"/>
          <w:color w:val="19212D"/>
          <w:sz w:val="22"/>
        </w:rPr>
        <w:t>Whether path pages improve selection.</w:t>
      </w:r>
    </w:p>
    <w:p>
      <w:pPr>
        <w:pStyle w:val="ListBullet"/>
      </w:pPr>
      <w:r>
        <w:rPr>
          <w:rFonts w:ascii="Calibri" w:hAnsi="Calibri"/>
          <w:color w:val="19212D"/>
          <w:sz w:val="22"/>
        </w:rPr>
        <w:t>Whether learners find explanations useful.</w:t>
      </w:r>
    </w:p>
    <w:p>
      <w:r>
        <w:rPr>
          <w:rFonts w:ascii="Calibri" w:hAnsi="Calibri"/>
          <w:color w:val="19212D"/>
          <w:sz w:val="22"/>
        </w:rPr>
        <w:t>Without these signals, prioritization is based mainly on intuition.</w:t>
      </w:r>
    </w:p>
    <w:p>
      <w:pPr>
        <w:pStyle w:val="Heading2"/>
      </w:pPr>
      <w:r>
        <w:t>7. SPA SEO Limitations - Medium/High</w:t>
      </w:r>
    </w:p>
    <w:p>
      <w:r>
        <w:rPr>
          <w:rFonts w:ascii="Calibri" w:hAnsi="Calibri"/>
          <w:color w:val="19212D"/>
          <w:sz w:val="22"/>
        </w:rPr>
        <w:t>Route metadata is updated client-side. Static HTML still contains stale generic metadata, and many social crawlers do not execute the application before generating previews.</w:t>
      </w:r>
    </w:p>
    <w:p>
      <w:r>
        <w:rPr>
          <w:rFonts w:ascii="Calibri" w:hAnsi="Calibri"/>
          <w:color w:val="19212D"/>
          <w:sz w:val="22"/>
        </w:rPr>
        <w:t>The catalog would benefit from prerendered route metadata, a sitemap, robots configuration, and refreshed static Open Graph content.</w:t>
      </w:r>
    </w:p>
    <w:p>
      <w:pPr>
        <w:pStyle w:val="Heading2"/>
      </w:pPr>
      <w:r>
        <w:t>8. Legal and Brand Readiness - Medium/High</w:t>
      </w:r>
    </w:p>
    <w:p>
      <w:r>
        <w:rPr>
          <w:rFonts w:ascii="Calibri" w:hAnsi="Calibri"/>
          <w:color w:val="19212D"/>
          <w:sz w:val="22"/>
        </w:rPr>
        <w:t xml:space="preserve">The repository calls itself open source but contains no visible </w:t>
      </w:r>
      <w:r>
        <w:rPr>
          <w:rFonts w:ascii="Consolas" w:hAnsi="Consolas"/>
          <w:color w:val="1F4D78"/>
          <w:sz w:val="21"/>
        </w:rPr>
        <w:t>LICENSE</w:t>
      </w:r>
      <w:r>
        <w:rPr>
          <w:rFonts w:ascii="Calibri" w:hAnsi="Calibri"/>
          <w:color w:val="19212D"/>
          <w:sz w:val="22"/>
        </w:rPr>
        <w:t xml:space="preserve"> file. The product also lacks a visible privacy policy, terms, educational disclaimer, and certification-provider trademark/non-affiliation notice.</w:t>
      </w:r>
    </w:p>
    <w:p>
      <w:r>
        <w:rPr>
          <w:rFonts w:ascii="Calibri" w:hAnsi="Calibri"/>
          <w:color w:val="19212D"/>
          <w:sz w:val="22"/>
        </w:rPr>
        <w:t>These are important before meaningful traffic, sponsorship, donations, or partnerships.</w:t>
      </w:r>
    </w:p>
    <w:p>
      <w:pPr>
        <w:pStyle w:val="Heading2"/>
      </w:pPr>
      <w:r>
        <w:t>9. No Production Error Monitoring - Medium</w:t>
      </w:r>
    </w:p>
    <w:p>
      <w:r>
        <w:rPr>
          <w:rFonts w:ascii="Calibri" w:hAnsi="Calibri"/>
          <w:color w:val="19212D"/>
          <w:sz w:val="22"/>
        </w:rPr>
        <w:t>Errors are logged to the browser console. There is no aggregated production error reporting, release monitoring, or uptime view.</w:t>
      </w:r>
    </w:p>
    <w:p>
      <w:pPr>
        <w:pStyle w:val="Heading2"/>
      </w:pPr>
      <w:r>
        <w:t>10. Branch and Release Hygiene - Medium</w:t>
      </w:r>
    </w:p>
    <w:p>
      <w:r>
        <w:rPr>
          <w:rFonts w:ascii="Calibri" w:hAnsi="Calibri"/>
          <w:color w:val="19212D"/>
          <w:sz w:val="22"/>
        </w:rPr>
        <w:t>Many historical feature branches remain locally and remotely. The current catalog-page branch is local-only. A simple pull-request and release-note discipline would make production state clearer.</w:t>
      </w:r>
    </w:p>
    <w:p>
      <w:r>
        <w:br w:type="page"/>
      </w:r>
    </w:p>
    <w:p>
      <w:pPr>
        <w:pStyle w:val="Heading1"/>
      </w:pPr>
      <w:r>
        <w:t>Competitive and Strategic Position</w:t>
      </w:r>
    </w:p>
    <w:p>
      <w:pPr>
        <w:pStyle w:val="Heading2"/>
      </w:pPr>
      <w:r>
        <w:t>Differentiators</w:t>
      </w:r>
    </w:p>
    <w:p>
      <w:pPr>
        <w:pStyle w:val="ListBullet"/>
      </w:pPr>
      <w:r>
        <w:rPr>
          <w:rFonts w:ascii="Calibri" w:hAnsi="Calibri"/>
          <w:color w:val="19212D"/>
          <w:sz w:val="22"/>
        </w:rPr>
        <w:t>Free, no-account access.</w:t>
      </w:r>
    </w:p>
    <w:p>
      <w:pPr>
        <w:pStyle w:val="ListBullet"/>
      </w:pPr>
      <w:r>
        <w:rPr>
          <w:rFonts w:ascii="Calibri" w:hAnsi="Calibri"/>
          <w:color w:val="19212D"/>
          <w:sz w:val="22"/>
        </w:rPr>
        <w:t>Very broad entry-to-associate IT catalog.</w:t>
      </w:r>
    </w:p>
    <w:p>
      <w:pPr>
        <w:pStyle w:val="ListBullet"/>
      </w:pPr>
      <w:r>
        <w:rPr>
          <w:rFonts w:ascii="Calibri" w:hAnsi="Calibri"/>
          <w:color w:val="19212D"/>
          <w:sz w:val="22"/>
        </w:rPr>
        <w:t>Career-path guidance rather than vendor-only browsing.</w:t>
      </w:r>
    </w:p>
    <w:p>
      <w:pPr>
        <w:pStyle w:val="ListBullet"/>
      </w:pPr>
      <w:r>
        <w:rPr>
          <w:rFonts w:ascii="Calibri" w:hAnsi="Calibri"/>
          <w:color w:val="19212D"/>
          <w:sz w:val="22"/>
        </w:rPr>
        <w:t>Adaptive Smart Practice.</w:t>
      </w:r>
    </w:p>
    <w:p>
      <w:pPr>
        <w:pStyle w:val="ListBullet"/>
      </w:pPr>
      <w:r>
        <w:rPr>
          <w:rFonts w:ascii="Calibri" w:hAnsi="Calibri"/>
          <w:color w:val="19212D"/>
          <w:sz w:val="22"/>
        </w:rPr>
        <w:t>Exam-length simulations with domain weighting.</w:t>
      </w:r>
    </w:p>
    <w:p>
      <w:pPr>
        <w:pStyle w:val="ListBullet"/>
      </w:pPr>
      <w:r>
        <w:rPr>
          <w:rFonts w:ascii="Calibri" w:hAnsi="Calibri"/>
          <w:color w:val="19212D"/>
          <w:sz w:val="22"/>
        </w:rPr>
        <w:t>Advanced simulation question types for CCNA and Linux+.</w:t>
      </w:r>
    </w:p>
    <w:p>
      <w:pPr>
        <w:pStyle w:val="ListBullet"/>
      </w:pPr>
      <w:r>
        <w:rPr>
          <w:rFonts w:ascii="Calibri" w:hAnsi="Calibri"/>
          <w:color w:val="19212D"/>
          <w:sz w:val="22"/>
        </w:rPr>
        <w:t>Separate Real Estate product on the same engine.</w:t>
      </w:r>
    </w:p>
    <w:p>
      <w:pPr>
        <w:pStyle w:val="ListBullet"/>
      </w:pPr>
      <w:r>
        <w:rPr>
          <w:rFonts w:ascii="Calibri" w:hAnsi="Calibri"/>
          <w:color w:val="19212D"/>
          <w:sz w:val="22"/>
        </w:rPr>
        <w:t>Open repository and strong automated validation.</w:t>
      </w:r>
    </w:p>
    <w:p>
      <w:pPr>
        <w:pStyle w:val="Heading2"/>
      </w:pPr>
      <w:r>
        <w:t>Defensible Asset</w:t>
      </w:r>
    </w:p>
    <w:p>
      <w:r>
        <w:rPr>
          <w:rFonts w:ascii="Calibri" w:hAnsi="Calibri"/>
          <w:color w:val="19212D"/>
          <w:sz w:val="22"/>
        </w:rPr>
        <w:t>The most defensible asset is the combination of:</w:t>
      </w:r>
    </w:p>
    <w:p>
      <w:pPr>
        <w:pStyle w:val="ListNumber"/>
      </w:pPr>
      <w:r>
        <w:rPr>
          <w:rFonts w:ascii="Calibri" w:hAnsi="Calibri"/>
          <w:color w:val="19212D"/>
          <w:sz w:val="22"/>
        </w:rPr>
        <w:t>A reusable exam engine.</w:t>
      </w:r>
    </w:p>
    <w:p>
      <w:pPr>
        <w:pStyle w:val="ListNumber"/>
      </w:pPr>
      <w:r>
        <w:rPr>
          <w:rFonts w:ascii="Calibri" w:hAnsi="Calibri"/>
          <w:color w:val="19212D"/>
          <w:sz w:val="22"/>
        </w:rPr>
        <w:t>A structured content schema.</w:t>
      </w:r>
    </w:p>
    <w:p>
      <w:pPr>
        <w:pStyle w:val="ListNumber"/>
      </w:pPr>
      <w:r>
        <w:rPr>
          <w:rFonts w:ascii="Calibri" w:hAnsi="Calibri"/>
          <w:color w:val="19212D"/>
          <w:sz w:val="22"/>
        </w:rPr>
        <w:t>Automated content gates.</w:t>
      </w:r>
    </w:p>
    <w:p>
      <w:pPr>
        <w:pStyle w:val="ListNumber"/>
      </w:pPr>
      <w:r>
        <w:rPr>
          <w:rFonts w:ascii="Calibri" w:hAnsi="Calibri"/>
          <w:color w:val="19212D"/>
          <w:sz w:val="22"/>
        </w:rPr>
        <w:t>Career-path merchandising.</w:t>
      </w:r>
    </w:p>
    <w:p>
      <w:pPr>
        <w:pStyle w:val="ListNumber"/>
      </w:pPr>
      <w:r>
        <w:rPr>
          <w:rFonts w:ascii="Calibri" w:hAnsi="Calibri"/>
          <w:color w:val="19212D"/>
          <w:sz w:val="22"/>
        </w:rPr>
        <w:t>A growing source-aligned content library.</w:t>
      </w:r>
    </w:p>
    <w:p>
      <w:r>
        <w:rPr>
          <w:rFonts w:ascii="Calibri" w:hAnsi="Calibri"/>
          <w:color w:val="19212D"/>
          <w:sz w:val="22"/>
        </w:rPr>
        <w:t>Question count alone is not defensible. Trust, correction speed, explanation quality, and learning outcomes are.</w:t>
      </w:r>
    </w:p>
    <w:p>
      <w:pPr>
        <w:pStyle w:val="Heading2"/>
      </w:pPr>
      <w:r>
        <w:t>Current Positioning</w:t>
      </w:r>
    </w:p>
    <w:p>
      <w:r>
        <w:rPr>
          <w:rFonts w:ascii="Calibri" w:hAnsi="Calibri"/>
          <w:color w:val="19212D"/>
          <w:sz w:val="22"/>
        </w:rPr>
        <w:t>freecertprep should position itself as:</w:t>
      </w:r>
    </w:p>
    <w:p>
      <w:pPr>
        <w:spacing w:before="120" w:after="200"/>
        <w:ind w:left="360" w:right="216"/>
        <w:shd w:fill="E8EEF5"/>
        <w:pBdr>
          <w:left w:val="single" w:sz="18" w:space="8" w:color="2E74B5"/>
        </w:pBdr>
      </w:pPr>
      <w:r>
        <w:rPr>
          <w:rFonts w:ascii="Calibri" w:hAnsi="Calibri"/>
          <w:color w:val="1F4D78"/>
          <w:sz w:val="22"/>
        </w:rPr>
        <w:t>A free, transparent practice platform for career-opening certification exams, with exam-shaped simulations, adaptive review, and visible content-quality standards.</w:t>
      </w:r>
    </w:p>
    <w:p>
      <w:r>
        <w:rPr>
          <w:rFonts w:ascii="Calibri" w:hAnsi="Calibri"/>
          <w:color w:val="19212D"/>
          <w:sz w:val="22"/>
        </w:rPr>
        <w:t>This is stronger than positioning it as merely a free question bank.</w:t>
      </w:r>
    </w:p>
    <w:p>
      <w:pPr>
        <w:pStyle w:val="Heading1"/>
      </w:pPr>
      <w:r>
        <w:t>Monetization Options</w:t>
      </w:r>
    </w:p>
    <w:p>
      <w:r>
        <w:rPr>
          <w:rFonts w:ascii="Calibri" w:hAnsi="Calibri"/>
          <w:color w:val="19212D"/>
          <w:sz w:val="22"/>
        </w:rPr>
        <w:t>There is no immediate need to monetize before usage and retention are understood. Static hosting keeps the current operating model inexpensive.</w:t>
      </w:r>
    </w:p>
    <w:p>
      <w:r>
        <w:rPr>
          <w:rFonts w:ascii="Calibri" w:hAnsi="Calibri"/>
          <w:color w:val="19212D"/>
          <w:sz w:val="22"/>
        </w:rPr>
        <w:t>Recommended order:</w:t>
      </w:r>
    </w:p>
    <w:p>
      <w:pPr>
        <w:pStyle w:val="ListNumber"/>
      </w:pPr>
      <w:r>
        <w:rPr>
          <w:rFonts w:ascii="Calibri" w:hAnsi="Calibri"/>
          <w:color w:val="19212D"/>
          <w:sz w:val="22"/>
        </w:rPr>
        <w:t>Donations and voluntary support.</w:t>
      </w:r>
    </w:p>
    <w:p>
      <w:pPr>
        <w:pStyle w:val="ListBullet"/>
      </w:pPr>
      <w:r>
        <w:rPr>
          <w:rFonts w:ascii="Calibri" w:hAnsi="Calibri"/>
          <w:color w:val="19212D"/>
          <w:sz w:val="22"/>
        </w:rPr>
        <w:t>Lowest trust risk.</w:t>
      </w:r>
    </w:p>
    <w:p>
      <w:pPr>
        <w:pStyle w:val="ListBullet"/>
      </w:pPr>
      <w:r>
        <w:rPr>
          <w:rFonts w:ascii="Calibri" w:hAnsi="Calibri"/>
          <w:color w:val="19212D"/>
          <w:sz w:val="22"/>
        </w:rPr>
        <w:t>Fits the free-access mission.</w:t>
      </w:r>
    </w:p>
    <w:p>
      <w:pPr>
        <w:pStyle w:val="ListBullet"/>
      </w:pPr>
      <w:r>
        <w:rPr>
          <w:rFonts w:ascii="Calibri" w:hAnsi="Calibri"/>
          <w:color w:val="19212D"/>
          <w:sz w:val="22"/>
        </w:rPr>
        <w:t>Add only after a clear cost/transparency page exists.</w:t>
      </w:r>
    </w:p>
    <w:p>
      <w:pPr>
        <w:pStyle w:val="ListNumber"/>
      </w:pPr>
      <w:r>
        <w:rPr>
          <w:rFonts w:ascii="Calibri" w:hAnsi="Calibri"/>
          <w:color w:val="19212D"/>
          <w:sz w:val="22"/>
        </w:rPr>
        <w:t>Carefully disclosed affiliate links.</w:t>
      </w:r>
    </w:p>
    <w:p>
      <w:pPr>
        <w:pStyle w:val="ListBullet"/>
      </w:pPr>
      <w:r>
        <w:rPr>
          <w:rFonts w:ascii="Calibri" w:hAnsi="Calibri"/>
          <w:color w:val="19212D"/>
          <w:sz w:val="22"/>
        </w:rPr>
        <w:t>Official exam vouchers, books, or approved training.</w:t>
      </w:r>
    </w:p>
    <w:p>
      <w:pPr>
        <w:pStyle w:val="ListBullet"/>
      </w:pPr>
      <w:r>
        <w:rPr>
          <w:rFonts w:ascii="Calibri" w:hAnsi="Calibri"/>
          <w:color w:val="19212D"/>
          <w:sz w:val="22"/>
        </w:rPr>
        <w:t>Must not influence question recommendations or provider coverage.</w:t>
      </w:r>
    </w:p>
    <w:p>
      <w:pPr>
        <w:pStyle w:val="ListNumber"/>
      </w:pPr>
      <w:r>
        <w:rPr>
          <w:rFonts w:ascii="Calibri" w:hAnsi="Calibri"/>
          <w:color w:val="19212D"/>
          <w:sz w:val="22"/>
        </w:rPr>
        <w:t>Sponsorships.</w:t>
      </w:r>
    </w:p>
    <w:p>
      <w:pPr>
        <w:pStyle w:val="ListBullet"/>
      </w:pPr>
      <w:r>
        <w:rPr>
          <w:rFonts w:ascii="Calibri" w:hAnsi="Calibri"/>
          <w:color w:val="19212D"/>
          <w:sz w:val="22"/>
        </w:rPr>
        <w:t>Employer, workforce-development, community-college, or training-provider sponsorship.</w:t>
      </w:r>
    </w:p>
    <w:p>
      <w:pPr>
        <w:pStyle w:val="ListBullet"/>
      </w:pPr>
      <w:r>
        <w:rPr>
          <w:rFonts w:ascii="Calibri" w:hAnsi="Calibri"/>
          <w:color w:val="19212D"/>
          <w:sz w:val="22"/>
        </w:rPr>
        <w:t>Sponsors support access but do not control editorial content.</w:t>
      </w:r>
    </w:p>
    <w:p>
      <w:pPr>
        <w:pStyle w:val="ListNumber"/>
      </w:pPr>
      <w:r>
        <w:rPr>
          <w:rFonts w:ascii="Calibri" w:hAnsi="Calibri"/>
          <w:color w:val="19212D"/>
          <w:sz w:val="22"/>
        </w:rPr>
        <w:t>Optional paid account features.</w:t>
      </w:r>
    </w:p>
    <w:p>
      <w:pPr>
        <w:pStyle w:val="ListBullet"/>
      </w:pPr>
      <w:r>
        <w:rPr>
          <w:rFonts w:ascii="Calibri" w:hAnsi="Calibri"/>
          <w:color w:val="19212D"/>
          <w:sz w:val="22"/>
        </w:rPr>
        <w:t>Cross-device sync, advanced history, study reminders, team/classroom dashboards.</w:t>
      </w:r>
    </w:p>
    <w:p>
      <w:pPr>
        <w:pStyle w:val="ListBullet"/>
      </w:pPr>
      <w:r>
        <w:rPr>
          <w:rFonts w:ascii="Calibri" w:hAnsi="Calibri"/>
          <w:color w:val="19212D"/>
          <w:sz w:val="22"/>
        </w:rPr>
        <w:t>Core questions, explanations, and simulators remain free.</w:t>
      </w:r>
    </w:p>
    <w:p>
      <w:pPr>
        <w:pStyle w:val="ListNumber"/>
      </w:pPr>
      <w:r>
        <w:rPr>
          <w:rFonts w:ascii="Calibri" w:hAnsi="Calibri"/>
          <w:color w:val="19212D"/>
          <w:sz w:val="22"/>
        </w:rPr>
        <w:t>Institutional licenses.</w:t>
      </w:r>
    </w:p>
    <w:p>
      <w:pPr>
        <w:pStyle w:val="ListBullet"/>
      </w:pPr>
      <w:r>
        <w:rPr>
          <w:rFonts w:ascii="Calibri" w:hAnsi="Calibri"/>
          <w:color w:val="19212D"/>
          <w:sz w:val="22"/>
        </w:rPr>
        <w:t>Libraries, workforce programs, schools, and nonprofit career programs.</w:t>
      </w:r>
    </w:p>
    <w:p>
      <w:pPr>
        <w:pStyle w:val="ListBullet"/>
      </w:pPr>
      <w:r>
        <w:rPr>
          <w:rFonts w:ascii="Calibri" w:hAnsi="Calibri"/>
          <w:color w:val="19212D"/>
          <w:sz w:val="22"/>
        </w:rPr>
        <w:t>Later-stage option after accounts and reporting exist.</w:t>
      </w:r>
    </w:p>
    <w:p>
      <w:r>
        <w:rPr>
          <w:rFonts w:ascii="Calibri" w:hAnsi="Calibri"/>
          <w:color w:val="19212D"/>
          <w:sz w:val="22"/>
        </w:rPr>
        <w:t>Not recommended:</w:t>
      </w:r>
    </w:p>
    <w:p>
      <w:pPr>
        <w:pStyle w:val="ListBullet"/>
      </w:pPr>
      <w:r>
        <w:rPr>
          <w:rFonts w:ascii="Calibri" w:hAnsi="Calibri"/>
          <w:color w:val="19212D"/>
          <w:sz w:val="22"/>
        </w:rPr>
        <w:t>Paywalling core practice.</w:t>
      </w:r>
    </w:p>
    <w:p>
      <w:pPr>
        <w:pStyle w:val="ListBullet"/>
      </w:pPr>
      <w:r>
        <w:rPr>
          <w:rFonts w:ascii="Calibri" w:hAnsi="Calibri"/>
          <w:color w:val="19212D"/>
          <w:sz w:val="22"/>
        </w:rPr>
        <w:t>Selling user study data.</w:t>
      </w:r>
    </w:p>
    <w:p>
      <w:pPr>
        <w:pStyle w:val="ListBullet"/>
      </w:pPr>
      <w:r>
        <w:rPr>
          <w:rFonts w:ascii="Calibri" w:hAnsi="Calibri"/>
          <w:color w:val="19212D"/>
          <w:sz w:val="22"/>
        </w:rPr>
        <w:t>Intrusive advertising inside quizzes.</w:t>
      </w:r>
    </w:p>
    <w:p>
      <w:pPr>
        <w:pStyle w:val="ListBullet"/>
      </w:pPr>
      <w:r>
        <w:rPr>
          <w:rFonts w:ascii="Calibri" w:hAnsi="Calibri"/>
          <w:color w:val="19212D"/>
          <w:sz w:val="22"/>
        </w:rPr>
        <w:t>Charging by certification before quality and trust are consistent.</w:t>
      </w:r>
    </w:p>
    <w:p>
      <w:pPr>
        <w:pStyle w:val="Heading1"/>
      </w:pPr>
      <w:r>
        <w:t>Future Ideas Review</w:t>
      </w:r>
    </w:p>
    <w:p>
      <w:pPr>
        <w:pStyle w:val="Heading2"/>
      </w:pPr>
      <w:r>
        <w:t>User Accounts and Supabase</w:t>
      </w:r>
    </w:p>
    <w:p>
      <w:r>
        <w:rPr>
          <w:rFonts w:ascii="Calibri" w:hAnsi="Calibri"/>
          <w:color w:val="19212D"/>
          <w:sz w:val="22"/>
        </w:rPr>
        <w:t>Strategic value: High Complexity: Medium Recommendation: Proceed after the trust/data model is defined.</w:t>
      </w:r>
    </w:p>
    <w:p>
      <w:r>
        <w:rPr>
          <w:rFonts w:ascii="Calibri" w:hAnsi="Calibri"/>
          <w:color w:val="19212D"/>
          <w:sz w:val="22"/>
        </w:rPr>
        <w:t>The storage hooks are already designed around a future adapter. Accounts would enable cross-device progress, retention measurement, issue reporting, moderation, and institutional features.</w:t>
      </w:r>
    </w:p>
    <w:p>
      <w:pPr>
        <w:pStyle w:val="Heading2"/>
      </w:pPr>
      <w:r>
        <w:t>Trust Layer</w:t>
      </w:r>
    </w:p>
    <w:p>
      <w:r>
        <w:rPr>
          <w:rFonts w:ascii="Calibri" w:hAnsi="Calibri"/>
          <w:color w:val="19212D"/>
          <w:sz w:val="22"/>
        </w:rPr>
        <w:t>Strategic value: Critical Complexity: Medium/High Recommendation: Make this the next major platform milestone.</w:t>
      </w:r>
    </w:p>
    <w:p>
      <w:r>
        <w:rPr>
          <w:rFonts w:ascii="Calibri" w:hAnsi="Calibri"/>
          <w:color w:val="19212D"/>
          <w:sz w:val="22"/>
        </w:rPr>
        <w:t>Minimum viable trust layer:</w:t>
      </w:r>
    </w:p>
    <w:p>
      <w:pPr>
        <w:pStyle w:val="ListBullet"/>
      </w:pPr>
      <w:r>
        <w:rPr>
          <w:rFonts w:ascii="Calibri" w:hAnsi="Calibri"/>
          <w:color w:val="19212D"/>
          <w:sz w:val="22"/>
        </w:rPr>
        <w:t>Per-question "report an issue."</w:t>
      </w:r>
    </w:p>
    <w:p>
      <w:pPr>
        <w:pStyle w:val="ListBullet"/>
      </w:pPr>
      <w:r>
        <w:rPr>
          <w:rFonts w:ascii="Calibri" w:hAnsi="Calibri"/>
          <w:color w:val="19212D"/>
          <w:sz w:val="22"/>
        </w:rPr>
        <w:t>Source URL and blueprint version by certification/domain.</w:t>
      </w:r>
    </w:p>
    <w:p>
      <w:pPr>
        <w:pStyle w:val="ListBullet"/>
      </w:pPr>
      <w:r>
        <w:rPr>
          <w:rFonts w:ascii="Calibri" w:hAnsi="Calibri"/>
          <w:color w:val="19212D"/>
          <w:sz w:val="22"/>
        </w:rPr>
        <w:t>Review status and last-reviewed date.</w:t>
      </w:r>
    </w:p>
    <w:p>
      <w:pPr>
        <w:pStyle w:val="ListBullet"/>
      </w:pPr>
      <w:r>
        <w:rPr>
          <w:rFonts w:ascii="Calibri" w:hAnsi="Calibri"/>
          <w:color w:val="19212D"/>
          <w:sz w:val="22"/>
        </w:rPr>
        <w:t>Internal moderation queue.</w:t>
      </w:r>
    </w:p>
    <w:p>
      <w:pPr>
        <w:pStyle w:val="ListBullet"/>
      </w:pPr>
      <w:r>
        <w:rPr>
          <w:rFonts w:ascii="Calibri" w:hAnsi="Calibri"/>
          <w:color w:val="19212D"/>
          <w:sz w:val="22"/>
        </w:rPr>
        <w:t>Correction notes and change history.</w:t>
      </w:r>
    </w:p>
    <w:p>
      <w:pPr>
        <w:pStyle w:val="Heading2"/>
      </w:pPr>
      <w:r>
        <w:t>PWA and Offline Mode</w:t>
      </w:r>
    </w:p>
    <w:p>
      <w:r>
        <w:rPr>
          <w:rFonts w:ascii="Calibri" w:hAnsi="Calibri"/>
          <w:color w:val="19212D"/>
          <w:sz w:val="22"/>
        </w:rPr>
        <w:t>Strategic value: Medium/High Complexity: Medium Recommendation: Build after source/version handling is defined, because offline question-bank caching complicates content updates and corrections.</w:t>
      </w:r>
    </w:p>
    <w:p>
      <w:pPr>
        <w:pStyle w:val="Heading2"/>
      </w:pPr>
      <w:r>
        <w:t>Streaks and Reminders</w:t>
      </w:r>
    </w:p>
    <w:p>
      <w:r>
        <w:rPr>
          <w:rFonts w:ascii="Calibri" w:hAnsi="Calibri"/>
          <w:color w:val="19212D"/>
          <w:sz w:val="22"/>
        </w:rPr>
        <w:t>Strategic value: Medium Complexity: Low/Medium Recommendation: Test only after analytics can determine whether retention is the real constraint.</w:t>
      </w:r>
    </w:p>
    <w:p>
      <w:pPr>
        <w:pStyle w:val="Heading2"/>
      </w:pPr>
      <w:r>
        <w:t>Shared Result Cards</w:t>
      </w:r>
    </w:p>
    <w:p>
      <w:r>
        <w:rPr>
          <w:rFonts w:ascii="Calibri" w:hAnsi="Calibri"/>
          <w:color w:val="19212D"/>
          <w:sz w:val="22"/>
        </w:rPr>
        <w:t>Strategic value: Medium Complexity: Low Recommendation: Good acquisition experiment after brand/legal polish.</w:t>
      </w:r>
    </w:p>
    <w:p>
      <w:pPr>
        <w:pStyle w:val="Heading2"/>
      </w:pPr>
      <w:r>
        <w:t>CDL Sister Site</w:t>
      </w:r>
    </w:p>
    <w:p>
      <w:r>
        <w:rPr>
          <w:rFonts w:ascii="Calibri" w:hAnsi="Calibri"/>
          <w:color w:val="19212D"/>
          <w:sz w:val="22"/>
        </w:rPr>
        <w:t>Strategic value: Medium/High Architecture fit: Strong Content/governance burden: High Recommendation: Best next sister-site candidate, but only after the quality gates above.</w:t>
      </w:r>
    </w:p>
    <w:p>
      <w:r>
        <w:rPr>
          <w:rFonts w:ascii="Calibri" w:hAnsi="Calibri"/>
          <w:color w:val="19212D"/>
          <w:sz w:val="22"/>
        </w:rPr>
        <w:t>The federal-plus-state manual structure resembles the Real Estate architecture and can reuse the exam engine.</w:t>
      </w:r>
    </w:p>
    <w:p>
      <w:pPr>
        <w:pStyle w:val="Heading2"/>
      </w:pPr>
      <w:r>
        <w:t>NCLEX Sister Site</w:t>
      </w:r>
    </w:p>
    <w:p>
      <w:r>
        <w:rPr>
          <w:rFonts w:ascii="Calibri" w:hAnsi="Calibri"/>
          <w:color w:val="19212D"/>
          <w:sz w:val="22"/>
        </w:rPr>
        <w:t>Strategic value: Potentially high Architecture fit: Weak today Clinical and legal risk: Very high Recommendation: Defer.</w:t>
      </w:r>
    </w:p>
    <w:p>
      <w:r>
        <w:rPr>
          <w:rFonts w:ascii="Calibri" w:hAnsi="Calibri"/>
          <w:color w:val="19212D"/>
          <w:sz w:val="22"/>
        </w:rPr>
        <w:t>NCLEX requires clinical-judgment cases, partial-credit scoring, matrix/grid, cloze, highlighting, drag/drop, chart/lab evidence, and substantially stronger expert review. It should not be approached as another multiple-choice content expansion.</w:t>
      </w:r>
    </w:p>
    <w:p>
      <w:r>
        <w:br w:type="page"/>
      </w:r>
    </w:p>
    <w:p>
      <w:pPr>
        <w:pStyle w:val="Heading1"/>
      </w:pPr>
      <w:r>
        <w:t>Recommended Roadmap</w:t>
      </w:r>
    </w:p>
    <w:p>
      <w:pPr>
        <w:pStyle w:val="Heading2"/>
      </w:pPr>
      <w:r>
        <w:t>Phase 0: Release Safety - Next 7 Days</w:t>
      </w:r>
    </w:p>
    <w:p>
      <w:pPr>
        <w:pStyle w:val="ListNumber"/>
      </w:pPr>
      <w:r>
        <w:rPr>
          <w:rFonts w:ascii="Calibri" w:hAnsi="Calibri"/>
          <w:color w:val="19212D"/>
          <w:sz w:val="22"/>
        </w:rPr>
        <w:t>Upgrade React Router dependencies and verify the full suite.</w:t>
      </w:r>
    </w:p>
    <w:p>
      <w:pPr>
        <w:pStyle w:val="ListNumber"/>
      </w:pPr>
      <w:r>
        <w:rPr>
          <w:rFonts w:ascii="Calibri" w:hAnsi="Calibri"/>
          <w:color w:val="19212D"/>
          <w:sz w:val="22"/>
        </w:rPr>
        <w:t xml:space="preserve">Decide whether to push and merge </w:t>
      </w:r>
      <w:r>
        <w:rPr>
          <w:rFonts w:ascii="Consolas" w:hAnsi="Consolas"/>
          <w:color w:val="1F4D78"/>
          <w:sz w:val="21"/>
        </w:rPr>
        <w:t>codex/catalog-page-clean-home</w:t>
      </w:r>
      <w:r>
        <w:rPr>
          <w:rFonts w:ascii="Calibri" w:hAnsi="Calibri"/>
          <w:color w:val="19212D"/>
          <w:sz w:val="22"/>
        </w:rPr>
        <w:t>.</w:t>
      </w:r>
    </w:p>
    <w:p>
      <w:pPr>
        <w:pStyle w:val="ListNumber"/>
      </w:pPr>
      <w:r>
        <w:rPr>
          <w:rFonts w:ascii="Calibri" w:hAnsi="Calibri"/>
          <w:color w:val="19212D"/>
          <w:sz w:val="22"/>
        </w:rPr>
        <w:t>Refresh static metadata, catalog counts, provider list, and canonical-domain roadmap language.</w:t>
      </w:r>
    </w:p>
    <w:p>
      <w:pPr>
        <w:pStyle w:val="ListNumber"/>
      </w:pPr>
      <w:r>
        <w:rPr>
          <w:rFonts w:ascii="Calibri" w:hAnsi="Calibri"/>
          <w:color w:val="19212D"/>
          <w:sz w:val="22"/>
        </w:rPr>
        <w:t>Add a real open-source license.</w:t>
      </w:r>
    </w:p>
    <w:p>
      <w:pPr>
        <w:pStyle w:val="ListNumber"/>
      </w:pPr>
      <w:r>
        <w:rPr>
          <w:rFonts w:ascii="Calibri" w:hAnsi="Calibri"/>
          <w:color w:val="19212D"/>
          <w:sz w:val="22"/>
        </w:rPr>
        <w:t>Add privacy, terms, non-affiliation, and educational-use disclaimers.</w:t>
      </w:r>
    </w:p>
    <w:p>
      <w:pPr>
        <w:pStyle w:val="ListNumber"/>
      </w:pPr>
      <w:r>
        <w:rPr>
          <w:rFonts w:ascii="Calibri" w:hAnsi="Calibri"/>
          <w:color w:val="19212D"/>
          <w:sz w:val="22"/>
        </w:rPr>
        <w:t>Remove or connect the non-persistent Real Estate notify form.</w:t>
      </w:r>
    </w:p>
    <w:p>
      <w:pPr>
        <w:pStyle w:val="Heading2"/>
      </w:pPr>
      <w:r>
        <w:t>Phase 1: Trust and Editorial Quality - Next 30 Days</w:t>
      </w:r>
    </w:p>
    <w:p>
      <w:pPr>
        <w:pStyle w:val="ListNumber"/>
      </w:pPr>
      <w:r>
        <w:rPr>
          <w:rFonts w:ascii="Calibri" w:hAnsi="Calibri"/>
          <w:color w:val="19212D"/>
          <w:sz w:val="22"/>
        </w:rPr>
        <w:t>Build a source registry with blueprint version, source URL, review date, and reviewer status for every certification.</w:t>
      </w:r>
    </w:p>
    <w:p>
      <w:pPr>
        <w:pStyle w:val="ListNumber"/>
      </w:pPr>
      <w:r>
        <w:rPr>
          <w:rFonts w:ascii="Calibri" w:hAnsi="Calibri"/>
          <w:color w:val="19212D"/>
          <w:sz w:val="22"/>
        </w:rPr>
        <w:t>Add automated synthetic-language and normalized-duplication gates.</w:t>
      </w:r>
    </w:p>
    <w:p>
      <w:pPr>
        <w:pStyle w:val="ListNumber"/>
      </w:pPr>
      <w:r>
        <w:rPr>
          <w:rFonts w:ascii="Calibri" w:hAnsi="Calibri"/>
          <w:color w:val="19212D"/>
          <w:sz w:val="22"/>
        </w:rPr>
        <w:t>Rewrite Linux+ single-choice clusters.</w:t>
      </w:r>
    </w:p>
    <w:p>
      <w:pPr>
        <w:pStyle w:val="ListNumber"/>
      </w:pPr>
      <w:r>
        <w:rPr>
          <w:rFonts w:ascii="Calibri" w:hAnsi="Calibri"/>
          <w:color w:val="19212D"/>
          <w:sz w:val="22"/>
        </w:rPr>
        <w:t>Rewrite DCCA repeated scenario clusters.</w:t>
      </w:r>
    </w:p>
    <w:p>
      <w:pPr>
        <w:pStyle w:val="ListNumber"/>
      </w:pPr>
      <w:r>
        <w:rPr>
          <w:rFonts w:ascii="Calibri" w:hAnsi="Calibri"/>
          <w:color w:val="19212D"/>
          <w:sz w:val="22"/>
        </w:rPr>
        <w:t>Clean Splunk ticket phrasing and expand distractor explanations.</w:t>
      </w:r>
    </w:p>
    <w:p>
      <w:pPr>
        <w:pStyle w:val="ListNumber"/>
      </w:pPr>
      <w:r>
        <w:rPr>
          <w:rFonts w:ascii="Calibri" w:hAnsi="Calibri"/>
          <w:color w:val="19212D"/>
          <w:sz w:val="22"/>
        </w:rPr>
        <w:t>Reconcile and republish Real Estate source audits.</w:t>
      </w:r>
    </w:p>
    <w:p>
      <w:pPr>
        <w:pStyle w:val="ListNumber"/>
      </w:pPr>
      <w:r>
        <w:rPr>
          <w:rFonts w:ascii="Calibri" w:hAnsi="Calibri"/>
          <w:color w:val="19212D"/>
          <w:sz w:val="22"/>
        </w:rPr>
        <w:t>Add a basic issue-reporting endpoint and moderation view.</w:t>
      </w:r>
    </w:p>
    <w:p>
      <w:pPr>
        <w:pStyle w:val="Heading2"/>
      </w:pPr>
      <w:r>
        <w:t>Phase 2: Measurement and Reliability - 30 to 60 Days</w:t>
      </w:r>
    </w:p>
    <w:p>
      <w:pPr>
        <w:pStyle w:val="ListNumber"/>
      </w:pPr>
      <w:r>
        <w:rPr>
          <w:rFonts w:ascii="Calibri" w:hAnsi="Calibri"/>
          <w:color w:val="19212D"/>
          <w:sz w:val="22"/>
        </w:rPr>
        <w:t>Add privacy-respecting analytics for page view, cert selection, quiz start, quiz completion, exam start, and exam completion.</w:t>
      </w:r>
    </w:p>
    <w:p>
      <w:pPr>
        <w:pStyle w:val="ListNumber"/>
      </w:pPr>
      <w:r>
        <w:rPr>
          <w:rFonts w:ascii="Calibri" w:hAnsi="Calibri"/>
          <w:color w:val="19212D"/>
          <w:sz w:val="22"/>
        </w:rPr>
        <w:t>Add production error monitoring.</w:t>
      </w:r>
    </w:p>
    <w:p>
      <w:pPr>
        <w:pStyle w:val="ListNumber"/>
      </w:pPr>
      <w:r>
        <w:rPr>
          <w:rFonts w:ascii="Calibri" w:hAnsi="Calibri"/>
          <w:color w:val="19212D"/>
          <w:sz w:val="22"/>
        </w:rPr>
        <w:t>Add sitemap and prerendered metadata.</w:t>
      </w:r>
    </w:p>
    <w:p>
      <w:pPr>
        <w:pStyle w:val="ListNumber"/>
      </w:pPr>
      <w:r>
        <w:rPr>
          <w:rFonts w:ascii="Calibri" w:hAnsi="Calibri"/>
          <w:color w:val="19212D"/>
          <w:sz w:val="22"/>
        </w:rPr>
        <w:t>Complete accessibility phase 2.</w:t>
      </w:r>
    </w:p>
    <w:p>
      <w:pPr>
        <w:pStyle w:val="ListNumber"/>
      </w:pPr>
      <w:r>
        <w:rPr>
          <w:rFonts w:ascii="Calibri" w:hAnsi="Calibri"/>
          <w:color w:val="19212D"/>
          <w:sz w:val="22"/>
        </w:rPr>
        <w:t>Add automated mobile browser smoke tests for homepage, catalog, paths, quiz, exam, and advanced simulations.</w:t>
      </w:r>
    </w:p>
    <w:p>
      <w:pPr>
        <w:pStyle w:val="Heading2"/>
      </w:pPr>
      <w:r>
        <w:t>Phase 3: User Continuity - 60 to 120 Days</w:t>
      </w:r>
    </w:p>
    <w:p>
      <w:pPr>
        <w:pStyle w:val="ListNumber"/>
      </w:pPr>
      <w:r>
        <w:rPr>
          <w:rFonts w:ascii="Calibri" w:hAnsi="Calibri"/>
          <w:color w:val="19212D"/>
          <w:sz w:val="22"/>
        </w:rPr>
        <w:t>Add optional accounts and cross-device sync.</w:t>
      </w:r>
    </w:p>
    <w:p>
      <w:pPr>
        <w:pStyle w:val="ListNumber"/>
      </w:pPr>
      <w:r>
        <w:rPr>
          <w:rFonts w:ascii="Calibri" w:hAnsi="Calibri"/>
          <w:color w:val="19212D"/>
          <w:sz w:val="22"/>
        </w:rPr>
        <w:t>Migrate local progress only with explicit user consent.</w:t>
      </w:r>
    </w:p>
    <w:p>
      <w:pPr>
        <w:pStyle w:val="ListNumber"/>
      </w:pPr>
      <w:r>
        <w:rPr>
          <w:rFonts w:ascii="Calibri" w:hAnsi="Calibri"/>
          <w:color w:val="19212D"/>
          <w:sz w:val="22"/>
        </w:rPr>
        <w:t>Add study reminders and streaks as optional features.</w:t>
      </w:r>
    </w:p>
    <w:p>
      <w:pPr>
        <w:pStyle w:val="ListNumber"/>
      </w:pPr>
      <w:r>
        <w:rPr>
          <w:rFonts w:ascii="Calibri" w:hAnsi="Calibri"/>
          <w:color w:val="19212D"/>
          <w:sz w:val="22"/>
        </w:rPr>
        <w:t>Add correction notifications for bookmarked or previously answered questions.</w:t>
      </w:r>
    </w:p>
    <w:p>
      <w:pPr>
        <w:pStyle w:val="ListNumber"/>
      </w:pPr>
      <w:r>
        <w:rPr>
          <w:rFonts w:ascii="Calibri" w:hAnsi="Calibri"/>
          <w:color w:val="19212D"/>
          <w:sz w:val="22"/>
        </w:rPr>
        <w:t>Pilot classroom/workforce-program reporting.</w:t>
      </w:r>
    </w:p>
    <w:p>
      <w:pPr>
        <w:pStyle w:val="Heading2"/>
      </w:pPr>
      <w:r>
        <w:t>Phase 4: Controlled Expansion - After Gates Are Met</w:t>
      </w:r>
    </w:p>
    <w:p>
      <w:r>
        <w:rPr>
          <w:rFonts w:ascii="Calibri" w:hAnsi="Calibri"/>
          <w:color w:val="19212D"/>
          <w:sz w:val="22"/>
        </w:rPr>
        <w:t>Expansion gate:</w:t>
      </w:r>
    </w:p>
    <w:p>
      <w:pPr>
        <w:pStyle w:val="ListBullet"/>
      </w:pPr>
      <w:r>
        <w:rPr>
          <w:rFonts w:ascii="Calibri" w:hAnsi="Calibri"/>
          <w:color w:val="19212D"/>
          <w:sz w:val="22"/>
        </w:rPr>
        <w:t>No unresolved high-severity dependency findings.</w:t>
      </w:r>
    </w:p>
    <w:p>
      <w:pPr>
        <w:pStyle w:val="ListBullet"/>
      </w:pPr>
      <w:r>
        <w:rPr>
          <w:rFonts w:ascii="Calibri" w:hAnsi="Calibri"/>
          <w:color w:val="19212D"/>
          <w:sz w:val="22"/>
        </w:rPr>
        <w:t>Every live bank has a current source record.</w:t>
      </w:r>
    </w:p>
    <w:p>
      <w:pPr>
        <w:pStyle w:val="ListBullet"/>
      </w:pPr>
      <w:r>
        <w:rPr>
          <w:rFonts w:ascii="Calibri" w:hAnsi="Calibri"/>
          <w:color w:val="19212D"/>
          <w:sz w:val="22"/>
        </w:rPr>
        <w:t>Linux+ and DCCA editorial rewrites complete.</w:t>
      </w:r>
    </w:p>
    <w:p>
      <w:pPr>
        <w:pStyle w:val="ListBullet"/>
      </w:pPr>
      <w:r>
        <w:rPr>
          <w:rFonts w:ascii="Calibri" w:hAnsi="Calibri"/>
          <w:color w:val="19212D"/>
          <w:sz w:val="22"/>
        </w:rPr>
        <w:t>Issue reporting and correction workflow operational.</w:t>
      </w:r>
    </w:p>
    <w:p>
      <w:pPr>
        <w:pStyle w:val="ListBullet"/>
      </w:pPr>
      <w:r>
        <w:rPr>
          <w:rFonts w:ascii="Calibri" w:hAnsi="Calibri"/>
          <w:color w:val="19212D"/>
          <w:sz w:val="22"/>
        </w:rPr>
        <w:t>Product analytics show meaningful use of current offerings.</w:t>
      </w:r>
    </w:p>
    <w:p>
      <w:pPr>
        <w:pStyle w:val="ListBullet"/>
      </w:pPr>
      <w:r>
        <w:rPr>
          <w:rFonts w:ascii="Calibri" w:hAnsi="Calibri"/>
          <w:color w:val="19212D"/>
          <w:sz w:val="22"/>
        </w:rPr>
        <w:t>A named reviewer or review process exists for new content.</w:t>
      </w:r>
    </w:p>
    <w:p>
      <w:r>
        <w:rPr>
          <w:rFonts w:ascii="Calibri" w:hAnsi="Calibri"/>
          <w:color w:val="19212D"/>
          <w:sz w:val="22"/>
        </w:rPr>
        <w:t>Then choose one:</w:t>
      </w:r>
    </w:p>
    <w:p>
      <w:pPr>
        <w:pStyle w:val="ListBullet"/>
      </w:pPr>
      <w:r>
        <w:rPr>
          <w:rFonts w:ascii="Calibri" w:hAnsi="Calibri"/>
          <w:color w:val="19212D"/>
          <w:sz w:val="22"/>
        </w:rPr>
        <w:t>Expand Real Estate state coverage.</w:t>
      </w:r>
    </w:p>
    <w:p>
      <w:pPr>
        <w:pStyle w:val="ListBullet"/>
      </w:pPr>
      <w:r>
        <w:rPr>
          <w:rFonts w:ascii="Calibri" w:hAnsi="Calibri"/>
          <w:color w:val="19212D"/>
          <w:sz w:val="22"/>
        </w:rPr>
        <w:t>Launch CDL as a new sister site.</w:t>
      </w:r>
    </w:p>
    <w:p>
      <w:pPr>
        <w:pStyle w:val="ListBullet"/>
      </w:pPr>
      <w:r>
        <w:rPr>
          <w:rFonts w:ascii="Calibri" w:hAnsi="Calibri"/>
          <w:color w:val="19212D"/>
          <w:sz w:val="22"/>
        </w:rPr>
        <w:t>Add a smaller, source-rich IT specialty certification.</w:t>
      </w:r>
    </w:p>
    <w:p>
      <w:r>
        <w:rPr>
          <w:rFonts w:ascii="Calibri" w:hAnsi="Calibri"/>
          <w:color w:val="19212D"/>
          <w:sz w:val="22"/>
        </w:rPr>
        <w:t>Do not begin NCLEX at this stage.</w:t>
      </w:r>
    </w:p>
    <w:p>
      <w:pPr>
        <w:pStyle w:val="Heading1"/>
      </w:pPr>
      <w:r>
        <w:t>Proposed Board Metrics</w:t>
      </w:r>
    </w:p>
    <w:p>
      <w:r>
        <w:rPr>
          <w:rFonts w:ascii="Calibri" w:hAnsi="Calibri"/>
          <w:color w:val="19212D"/>
          <w:sz w:val="22"/>
        </w:rPr>
        <w:t>The board should receive a monthly dashboard covering:</w:t>
      </w:r>
    </w:p>
    <w:p>
      <w:pPr>
        <w:pStyle w:val="Heading2"/>
      </w:pPr>
      <w:r>
        <w:t>Reach</w:t>
      </w:r>
    </w:p>
    <w:p>
      <w:pPr>
        <w:pStyle w:val="ListBullet"/>
      </w:pPr>
      <w:r>
        <w:rPr>
          <w:rFonts w:ascii="Calibri" w:hAnsi="Calibri"/>
          <w:color w:val="19212D"/>
          <w:sz w:val="22"/>
        </w:rPr>
        <w:t>Unique visitors.</w:t>
      </w:r>
    </w:p>
    <w:p>
      <w:pPr>
        <w:pStyle w:val="ListBullet"/>
      </w:pPr>
      <w:r>
        <w:rPr>
          <w:rFonts w:ascii="Calibri" w:hAnsi="Calibri"/>
          <w:color w:val="19212D"/>
          <w:sz w:val="22"/>
        </w:rPr>
        <w:t>Organic search sessions.</w:t>
      </w:r>
    </w:p>
    <w:p>
      <w:pPr>
        <w:pStyle w:val="ListBullet"/>
      </w:pPr>
      <w:r>
        <w:rPr>
          <w:rFonts w:ascii="Calibri" w:hAnsi="Calibri"/>
          <w:color w:val="19212D"/>
          <w:sz w:val="22"/>
        </w:rPr>
        <w:t>Catalog and career-path entry rates.</w:t>
      </w:r>
    </w:p>
    <w:p>
      <w:pPr>
        <w:pStyle w:val="ListBullet"/>
      </w:pPr>
      <w:r>
        <w:rPr>
          <w:rFonts w:ascii="Calibri" w:hAnsi="Calibri"/>
          <w:color w:val="19212D"/>
          <w:sz w:val="22"/>
        </w:rPr>
        <w:t>Top certifications by visits.</w:t>
      </w:r>
    </w:p>
    <w:p>
      <w:pPr>
        <w:pStyle w:val="Heading2"/>
      </w:pPr>
      <w:r>
        <w:t>Engagement</w:t>
      </w:r>
    </w:p>
    <w:p>
      <w:pPr>
        <w:pStyle w:val="ListBullet"/>
      </w:pPr>
      <w:r>
        <w:rPr>
          <w:rFonts w:ascii="Calibri" w:hAnsi="Calibri"/>
          <w:color w:val="19212D"/>
          <w:sz w:val="22"/>
        </w:rPr>
        <w:t>Quiz starts and completion rate.</w:t>
      </w:r>
    </w:p>
    <w:p>
      <w:pPr>
        <w:pStyle w:val="ListBullet"/>
      </w:pPr>
      <w:r>
        <w:rPr>
          <w:rFonts w:ascii="Calibri" w:hAnsi="Calibri"/>
          <w:color w:val="19212D"/>
          <w:sz w:val="22"/>
        </w:rPr>
        <w:t>Exam starts and completion rate.</w:t>
      </w:r>
    </w:p>
    <w:p>
      <w:pPr>
        <w:pStyle w:val="ListBullet"/>
      </w:pPr>
      <w:r>
        <w:rPr>
          <w:rFonts w:ascii="Calibri" w:hAnsi="Calibri"/>
          <w:color w:val="19212D"/>
          <w:sz w:val="22"/>
        </w:rPr>
        <w:t>Return users at 7 and 30 days.</w:t>
      </w:r>
    </w:p>
    <w:p>
      <w:pPr>
        <w:pStyle w:val="ListBullet"/>
      </w:pPr>
      <w:r>
        <w:rPr>
          <w:rFonts w:ascii="Calibri" w:hAnsi="Calibri"/>
          <w:color w:val="19212D"/>
          <w:sz w:val="22"/>
        </w:rPr>
        <w:t>Average questions answered per active learner.</w:t>
      </w:r>
    </w:p>
    <w:p>
      <w:pPr>
        <w:pStyle w:val="ListBullet"/>
      </w:pPr>
      <w:r>
        <w:rPr>
          <w:rFonts w:ascii="Calibri" w:hAnsi="Calibri"/>
          <w:color w:val="19212D"/>
          <w:sz w:val="22"/>
        </w:rPr>
        <w:t>Smart Practice repeat usage.</w:t>
      </w:r>
    </w:p>
    <w:p>
      <w:pPr>
        <w:pStyle w:val="Heading2"/>
      </w:pPr>
      <w:r>
        <w:t>Learning Signal</w:t>
      </w:r>
    </w:p>
    <w:p>
      <w:pPr>
        <w:pStyle w:val="ListBullet"/>
      </w:pPr>
      <w:r>
        <w:rPr>
          <w:rFonts w:ascii="Calibri" w:hAnsi="Calibri"/>
          <w:color w:val="19212D"/>
          <w:sz w:val="22"/>
        </w:rPr>
        <w:t>Accuracy improvement over repeated sessions.</w:t>
      </w:r>
    </w:p>
    <w:p>
      <w:pPr>
        <w:pStyle w:val="ListBullet"/>
      </w:pPr>
      <w:r>
        <w:rPr>
          <w:rFonts w:ascii="Calibri" w:hAnsi="Calibri"/>
          <w:color w:val="19212D"/>
          <w:sz w:val="22"/>
        </w:rPr>
        <w:t>Domain readiness improvement.</w:t>
      </w:r>
    </w:p>
    <w:p>
      <w:pPr>
        <w:pStyle w:val="ListBullet"/>
      </w:pPr>
      <w:r>
        <w:rPr>
          <w:rFonts w:ascii="Calibri" w:hAnsi="Calibri"/>
          <w:color w:val="19212D"/>
          <w:sz w:val="22"/>
        </w:rPr>
        <w:t>Explanation-open/review behavior.</w:t>
      </w:r>
    </w:p>
    <w:p>
      <w:pPr>
        <w:pStyle w:val="ListBullet"/>
      </w:pPr>
      <w:r>
        <w:rPr>
          <w:rFonts w:ascii="Calibri" w:hAnsi="Calibri"/>
          <w:color w:val="19212D"/>
          <w:sz w:val="22"/>
        </w:rPr>
        <w:t>Exam score trend by attempt.</w:t>
      </w:r>
    </w:p>
    <w:p>
      <w:pPr>
        <w:pStyle w:val="Heading2"/>
      </w:pPr>
      <w:r>
        <w:t>Content Health</w:t>
      </w:r>
    </w:p>
    <w:p>
      <w:pPr>
        <w:pStyle w:val="ListBullet"/>
      </w:pPr>
      <w:r>
        <w:rPr>
          <w:rFonts w:ascii="Calibri" w:hAnsi="Calibri"/>
          <w:color w:val="19212D"/>
          <w:sz w:val="22"/>
        </w:rPr>
        <w:t>Percentage of live banks with current official source verification.</w:t>
      </w:r>
    </w:p>
    <w:p>
      <w:pPr>
        <w:pStyle w:val="ListBullet"/>
      </w:pPr>
      <w:r>
        <w:rPr>
          <w:rFonts w:ascii="Calibri" w:hAnsi="Calibri"/>
          <w:color w:val="19212D"/>
          <w:sz w:val="22"/>
        </w:rPr>
        <w:t>Open question reports.</w:t>
      </w:r>
    </w:p>
    <w:p>
      <w:pPr>
        <w:pStyle w:val="ListBullet"/>
      </w:pPr>
      <w:r>
        <w:rPr>
          <w:rFonts w:ascii="Calibri" w:hAnsi="Calibri"/>
          <w:color w:val="19212D"/>
          <w:sz w:val="22"/>
        </w:rPr>
        <w:t>Median report resolution time.</w:t>
      </w:r>
    </w:p>
    <w:p>
      <w:pPr>
        <w:pStyle w:val="ListBullet"/>
      </w:pPr>
      <w:r>
        <w:rPr>
          <w:rFonts w:ascii="Calibri" w:hAnsi="Calibri"/>
          <w:color w:val="19212D"/>
          <w:sz w:val="22"/>
        </w:rPr>
        <w:t>Questions changed after reports.</w:t>
      </w:r>
    </w:p>
    <w:p>
      <w:pPr>
        <w:pStyle w:val="ListBullet"/>
      </w:pPr>
      <w:r>
        <w:rPr>
          <w:rFonts w:ascii="Calibri" w:hAnsi="Calibri"/>
          <w:color w:val="19212D"/>
          <w:sz w:val="22"/>
        </w:rPr>
        <w:t>Normalized duplicate rate by bank.</w:t>
      </w:r>
    </w:p>
    <w:p>
      <w:pPr>
        <w:pStyle w:val="ListBullet"/>
      </w:pPr>
      <w:r>
        <w:rPr>
          <w:rFonts w:ascii="Calibri" w:hAnsi="Calibri"/>
          <w:color w:val="19212D"/>
          <w:sz w:val="22"/>
        </w:rPr>
        <w:t>Editorial review completion by bank.</w:t>
      </w:r>
    </w:p>
    <w:p>
      <w:pPr>
        <w:pStyle w:val="Heading2"/>
      </w:pPr>
      <w:r>
        <w:t>Reliability</w:t>
      </w:r>
    </w:p>
    <w:p>
      <w:pPr>
        <w:pStyle w:val="ListBullet"/>
      </w:pPr>
      <w:r>
        <w:rPr>
          <w:rFonts w:ascii="Calibri" w:hAnsi="Calibri"/>
          <w:color w:val="19212D"/>
          <w:sz w:val="22"/>
        </w:rPr>
        <w:t>Build and deployment success.</w:t>
      </w:r>
    </w:p>
    <w:p>
      <w:pPr>
        <w:pStyle w:val="ListBullet"/>
      </w:pPr>
      <w:r>
        <w:rPr>
          <w:rFonts w:ascii="Calibri" w:hAnsi="Calibri"/>
          <w:color w:val="19212D"/>
          <w:sz w:val="22"/>
        </w:rPr>
        <w:t>Client error rate.</w:t>
      </w:r>
    </w:p>
    <w:p>
      <w:pPr>
        <w:pStyle w:val="ListBullet"/>
      </w:pPr>
      <w:r>
        <w:rPr>
          <w:rFonts w:ascii="Calibri" w:hAnsi="Calibri"/>
          <w:color w:val="19212D"/>
          <w:sz w:val="22"/>
        </w:rPr>
        <w:t>Question-asset load failures.</w:t>
      </w:r>
    </w:p>
    <w:p>
      <w:pPr>
        <w:pStyle w:val="ListBullet"/>
      </w:pPr>
      <w:r>
        <w:rPr>
          <w:rFonts w:ascii="Calibri" w:hAnsi="Calibri"/>
          <w:color w:val="19212D"/>
          <w:sz w:val="22"/>
        </w:rPr>
        <w:t>Performance by device class.</w:t>
      </w:r>
    </w:p>
    <w:p>
      <w:pPr>
        <w:pStyle w:val="ListBullet"/>
      </w:pPr>
      <w:r>
        <w:rPr>
          <w:rFonts w:ascii="Calibri" w:hAnsi="Calibri"/>
          <w:color w:val="19212D"/>
          <w:sz w:val="22"/>
        </w:rPr>
        <w:t>Accessibility test status.</w:t>
      </w:r>
    </w:p>
    <w:p>
      <w:pPr>
        <w:pStyle w:val="Heading2"/>
      </w:pPr>
      <w:r>
        <w:t>Sustainability</w:t>
      </w:r>
    </w:p>
    <w:p>
      <w:pPr>
        <w:pStyle w:val="ListBullet"/>
      </w:pPr>
      <w:r>
        <w:rPr>
          <w:rFonts w:ascii="Calibri" w:hAnsi="Calibri"/>
          <w:color w:val="19212D"/>
          <w:sz w:val="22"/>
        </w:rPr>
        <w:t>Hosting and backend cost.</w:t>
      </w:r>
    </w:p>
    <w:p>
      <w:pPr>
        <w:pStyle w:val="ListBullet"/>
      </w:pPr>
      <w:r>
        <w:rPr>
          <w:rFonts w:ascii="Calibri" w:hAnsi="Calibri"/>
          <w:color w:val="19212D"/>
          <w:sz w:val="22"/>
        </w:rPr>
        <w:t>Donations or sponsorship revenue.</w:t>
      </w:r>
    </w:p>
    <w:p>
      <w:pPr>
        <w:pStyle w:val="ListBullet"/>
      </w:pPr>
      <w:r>
        <w:rPr>
          <w:rFonts w:ascii="Calibri" w:hAnsi="Calibri"/>
          <w:color w:val="19212D"/>
          <w:sz w:val="22"/>
        </w:rPr>
        <w:t>Cost per active learner.</w:t>
      </w:r>
    </w:p>
    <w:p>
      <w:pPr>
        <w:pStyle w:val="ListBullet"/>
      </w:pPr>
      <w:r>
        <w:rPr>
          <w:rFonts w:ascii="Calibri" w:hAnsi="Calibri"/>
          <w:color w:val="19212D"/>
          <w:sz w:val="22"/>
        </w:rPr>
        <w:t>Reviewer/editorial hours by certification.</w:t>
      </w:r>
    </w:p>
    <w:p>
      <w:pPr>
        <w:pStyle w:val="Heading1"/>
      </w:pPr>
      <w:r>
        <w:t>Decisions Requested From the Board</w:t>
      </w:r>
    </w:p>
    <w:p>
      <w:pPr>
        <w:pStyle w:val="ListNumber"/>
      </w:pPr>
      <w:r>
        <w:rPr>
          <w:rFonts w:ascii="Calibri" w:hAnsi="Calibri"/>
          <w:color w:val="19212D"/>
          <w:sz w:val="22"/>
        </w:rPr>
        <w:t>Approve a temporary pause on new 600-750 question banks.</w:t>
      </w:r>
    </w:p>
    <w:p>
      <w:pPr>
        <w:pStyle w:val="ListNumber"/>
      </w:pPr>
      <w:r>
        <w:rPr>
          <w:rFonts w:ascii="Calibri" w:hAnsi="Calibri"/>
          <w:color w:val="19212D"/>
          <w:sz w:val="22"/>
        </w:rPr>
        <w:t>Approve trust and editorial quality as the next primary milestone.</w:t>
      </w:r>
    </w:p>
    <w:p>
      <w:pPr>
        <w:pStyle w:val="ListNumber"/>
      </w:pPr>
      <w:r>
        <w:rPr>
          <w:rFonts w:ascii="Calibri" w:hAnsi="Calibri"/>
          <w:color w:val="19212D"/>
          <w:sz w:val="22"/>
        </w:rPr>
        <w:t>Approve optional accounts only after the data/privacy model is documented.</w:t>
      </w:r>
    </w:p>
    <w:p>
      <w:pPr>
        <w:pStyle w:val="ListNumber"/>
      </w:pPr>
      <w:r>
        <w:rPr>
          <w:rFonts w:ascii="Calibri" w:hAnsi="Calibri"/>
          <w:color w:val="19212D"/>
          <w:sz w:val="22"/>
        </w:rPr>
        <w:t xml:space="preserve">Approve the dedicated </w:t>
      </w:r>
      <w:r>
        <w:rPr>
          <w:rFonts w:ascii="Consolas" w:hAnsi="Consolas"/>
          <w:color w:val="1F4D78"/>
          <w:sz w:val="21"/>
        </w:rPr>
        <w:t>/catalog</w:t>
      </w:r>
      <w:r>
        <w:rPr>
          <w:rFonts w:ascii="Calibri" w:hAnsi="Calibri"/>
          <w:color w:val="19212D"/>
          <w:sz w:val="22"/>
        </w:rPr>
        <w:t xml:space="preserve"> direction, subject to mobile review.</w:t>
      </w:r>
    </w:p>
    <w:p>
      <w:pPr>
        <w:pStyle w:val="ListNumber"/>
      </w:pPr>
      <w:r>
        <w:rPr>
          <w:rFonts w:ascii="Calibri" w:hAnsi="Calibri"/>
          <w:color w:val="19212D"/>
          <w:sz w:val="22"/>
        </w:rPr>
        <w:t>Approve a free-core monetization principle.</w:t>
      </w:r>
    </w:p>
    <w:p>
      <w:pPr>
        <w:pStyle w:val="ListNumber"/>
      </w:pPr>
      <w:r>
        <w:rPr>
          <w:rFonts w:ascii="Calibri" w:hAnsi="Calibri"/>
          <w:color w:val="19212D"/>
          <w:sz w:val="22"/>
        </w:rPr>
        <w:t>Select the official canonical domain and align all metadata.</w:t>
      </w:r>
    </w:p>
    <w:p>
      <w:pPr>
        <w:pStyle w:val="ListNumber"/>
      </w:pPr>
      <w:r>
        <w:rPr>
          <w:rFonts w:ascii="Calibri" w:hAnsi="Calibri"/>
          <w:color w:val="19212D"/>
          <w:sz w:val="22"/>
        </w:rPr>
        <w:t>Decide whether the project remains founder-reviewed or begins recruiting subject-matter reviewers.</w:t>
      </w:r>
    </w:p>
    <w:p>
      <w:pPr>
        <w:pStyle w:val="ListNumber"/>
      </w:pPr>
      <w:r>
        <w:rPr>
          <w:rFonts w:ascii="Calibri" w:hAnsi="Calibri"/>
          <w:color w:val="19212D"/>
          <w:sz w:val="22"/>
        </w:rPr>
        <w:t>Require expansion gates before CDL, additional states, or other sister sites.</w:t>
      </w:r>
    </w:p>
    <w:p>
      <w:pPr>
        <w:pStyle w:val="Heading1"/>
      </w:pPr>
      <w:r>
        <w:t>Final Assessment</w:t>
      </w:r>
    </w:p>
    <w:p>
      <w:r>
        <w:rPr>
          <w:rFonts w:ascii="Calibri" w:hAnsi="Calibri"/>
          <w:color w:val="19212D"/>
          <w:sz w:val="22"/>
        </w:rPr>
        <w:t>freecertprep is at a strong product inflection point. The project has already demonstrated:</w:t>
      </w:r>
    </w:p>
    <w:p>
      <w:pPr>
        <w:pStyle w:val="ListBullet"/>
      </w:pPr>
      <w:r>
        <w:rPr>
          <w:rFonts w:ascii="Calibri" w:hAnsi="Calibri"/>
          <w:color w:val="19212D"/>
          <w:sz w:val="22"/>
        </w:rPr>
        <w:t>Fast execution.</w:t>
      </w:r>
    </w:p>
    <w:p>
      <w:pPr>
        <w:pStyle w:val="ListBullet"/>
      </w:pPr>
      <w:r>
        <w:rPr>
          <w:rFonts w:ascii="Calibri" w:hAnsi="Calibri"/>
          <w:color w:val="19212D"/>
          <w:sz w:val="22"/>
        </w:rPr>
        <w:t>A reusable platform.</w:t>
      </w:r>
    </w:p>
    <w:p>
      <w:pPr>
        <w:pStyle w:val="ListBullet"/>
      </w:pPr>
      <w:r>
        <w:rPr>
          <w:rFonts w:ascii="Calibri" w:hAnsi="Calibri"/>
          <w:color w:val="19212D"/>
          <w:sz w:val="22"/>
        </w:rPr>
        <w:t>Large-scale content operations.</w:t>
      </w:r>
    </w:p>
    <w:p>
      <w:pPr>
        <w:pStyle w:val="ListBullet"/>
      </w:pPr>
      <w:r>
        <w:rPr>
          <w:rFonts w:ascii="Calibri" w:hAnsi="Calibri"/>
          <w:color w:val="19212D"/>
          <w:sz w:val="22"/>
        </w:rPr>
        <w:t>Technical resilience.</w:t>
      </w:r>
    </w:p>
    <w:p>
      <w:pPr>
        <w:pStyle w:val="ListBullet"/>
      </w:pPr>
      <w:r>
        <w:rPr>
          <w:rFonts w:ascii="Calibri" w:hAnsi="Calibri"/>
          <w:color w:val="19212D"/>
          <w:sz w:val="22"/>
        </w:rPr>
        <w:t>A credible free-access mission.</w:t>
      </w:r>
    </w:p>
    <w:p>
      <w:r>
        <w:rPr>
          <w:rFonts w:ascii="Calibri" w:hAnsi="Calibri"/>
          <w:color w:val="19212D"/>
          <w:sz w:val="22"/>
        </w:rPr>
        <w:t>The next version of the company should be built around credibility rather than volume.</w:t>
      </w:r>
    </w:p>
    <w:p>
      <w:r>
        <w:rPr>
          <w:rFonts w:ascii="Calibri" w:hAnsi="Calibri"/>
          <w:color w:val="19212D"/>
          <w:sz w:val="22"/>
        </w:rPr>
        <w:t>If the project invests in source transparency, editorial discipline, security maintenance, measurable user outcomes, and a lightweight backend trust layer, it can become a durable public learning platform rather than a large collection of practice questions.</w:t>
      </w:r>
    </w:p>
    <w:p>
      <w:r>
        <w:rPr>
          <w:rFonts w:ascii="Calibri" w:hAnsi="Calibri"/>
          <w:color w:val="19212D"/>
          <w:sz w:val="22"/>
        </w:rPr>
        <w:t>The board should view the current catalog as sufficient for the next stage. The highest-return work is now to make the existing product demonstrably trustworthy, measurable, maintainable, and easy to recommend.</w:t>
      </w:r>
    </w:p>
    <w:p>
      <w:pPr>
        <w:pStyle w:val="Heading1"/>
      </w:pPr>
      <w:r>
        <w:t>Evidence Reviewed</w:t>
      </w:r>
    </w:p>
    <w:p>
      <w:pPr>
        <w:pStyle w:val="ListBullet"/>
      </w:pPr>
      <w:r>
        <w:rPr>
          <w:rFonts w:ascii="Consolas" w:hAnsi="Consolas"/>
          <w:color w:val="1F4D78"/>
          <w:sz w:val="21"/>
        </w:rPr>
        <w:t>README.md</w:t>
      </w:r>
    </w:p>
    <w:p>
      <w:pPr>
        <w:pStyle w:val="ListBullet"/>
      </w:pPr>
      <w:r>
        <w:rPr>
          <w:rFonts w:ascii="Consolas" w:hAnsi="Consolas"/>
          <w:color w:val="1F4D78"/>
          <w:sz w:val="21"/>
        </w:rPr>
        <w:t>src/data/certs.js</w:t>
      </w:r>
    </w:p>
    <w:p>
      <w:pPr>
        <w:pStyle w:val="ListBullet"/>
      </w:pPr>
      <w:r>
        <w:rPr>
          <w:rFonts w:ascii="Consolas" w:hAnsi="Consolas"/>
          <w:color w:val="1F4D78"/>
          <w:sz w:val="21"/>
        </w:rPr>
        <w:t>src/pages/Home.jsx</w:t>
      </w:r>
    </w:p>
    <w:p>
      <w:pPr>
        <w:pStyle w:val="ListBullet"/>
      </w:pPr>
      <w:r>
        <w:rPr>
          <w:rFonts w:ascii="Consolas" w:hAnsi="Consolas"/>
          <w:color w:val="1F4D78"/>
          <w:sz w:val="21"/>
        </w:rPr>
        <w:t>src/pages/Catalog.jsx</w:t>
      </w:r>
    </w:p>
    <w:p>
      <w:pPr>
        <w:pStyle w:val="ListBullet"/>
      </w:pPr>
      <w:r>
        <w:rPr>
          <w:rFonts w:ascii="Consolas" w:hAnsi="Consolas"/>
          <w:color w:val="1F4D78"/>
          <w:sz w:val="21"/>
        </w:rPr>
        <w:t>src/pages/CareerPath.jsx</w:t>
      </w:r>
    </w:p>
    <w:p>
      <w:pPr>
        <w:pStyle w:val="ListBullet"/>
      </w:pPr>
      <w:r>
        <w:rPr>
          <w:rFonts w:ascii="Consolas" w:hAnsi="Consolas"/>
          <w:color w:val="1F4D78"/>
          <w:sz w:val="21"/>
        </w:rPr>
        <w:t>src/pages/Docs.jsx</w:t>
      </w:r>
    </w:p>
    <w:p>
      <w:pPr>
        <w:pStyle w:val="ListBullet"/>
      </w:pPr>
      <w:r>
        <w:rPr>
          <w:rFonts w:ascii="Consolas" w:hAnsi="Consolas"/>
          <w:color w:val="1F4D78"/>
          <w:sz w:val="21"/>
        </w:rPr>
        <w:t>src/pages/RealEstate.jsx</w:t>
      </w:r>
    </w:p>
    <w:p>
      <w:pPr>
        <w:pStyle w:val="ListBullet"/>
      </w:pPr>
      <w:r>
        <w:rPr>
          <w:rFonts w:ascii="Consolas" w:hAnsi="Consolas"/>
          <w:color w:val="1F4D78"/>
          <w:sz w:val="21"/>
        </w:rPr>
        <w:t>src/pages/realestate/reCerts.js</w:t>
      </w:r>
    </w:p>
    <w:p>
      <w:pPr>
        <w:pStyle w:val="ListBullet"/>
      </w:pPr>
      <w:r>
        <w:rPr>
          <w:rFonts w:ascii="Consolas" w:hAnsi="Consolas"/>
          <w:color w:val="1F4D78"/>
          <w:sz w:val="21"/>
        </w:rPr>
        <w:t>src/hooks/useQuestionStats.js</w:t>
      </w:r>
    </w:p>
    <w:p>
      <w:pPr>
        <w:pStyle w:val="ListBullet"/>
      </w:pPr>
      <w:r>
        <w:rPr>
          <w:rFonts w:ascii="Consolas" w:hAnsi="Consolas"/>
          <w:color w:val="1F4D78"/>
          <w:sz w:val="21"/>
        </w:rPr>
        <w:t>src/utils/storage.js</w:t>
      </w:r>
    </w:p>
    <w:p>
      <w:pPr>
        <w:pStyle w:val="ListBullet"/>
      </w:pPr>
      <w:r>
        <w:rPr>
          <w:rFonts w:ascii="Consolas" w:hAnsi="Consolas"/>
          <w:color w:val="1F4D78"/>
          <w:sz w:val="21"/>
        </w:rPr>
        <w:t>src/utils/exam-selection.js</w:t>
      </w:r>
    </w:p>
    <w:p>
      <w:pPr>
        <w:pStyle w:val="ListBullet"/>
      </w:pPr>
      <w:r>
        <w:rPr>
          <w:rFonts w:ascii="Consolas" w:hAnsi="Consolas"/>
          <w:color w:val="1F4D78"/>
          <w:sz w:val="21"/>
        </w:rPr>
        <w:t>.github/workflows/ci.yml</w:t>
      </w:r>
    </w:p>
    <w:p>
      <w:pPr>
        <w:pStyle w:val="ListBullet"/>
      </w:pPr>
      <w:r>
        <w:rPr>
          <w:rFonts w:ascii="Consolas" w:hAnsi="Consolas"/>
          <w:color w:val="1F4D78"/>
          <w:sz w:val="21"/>
        </w:rPr>
        <w:t>docs/ccna-simulation-architecture.md</w:t>
      </w:r>
    </w:p>
    <w:p>
      <w:pPr>
        <w:pStyle w:val="ListBullet"/>
      </w:pPr>
      <w:r>
        <w:rPr>
          <w:rFonts w:ascii="Consolas" w:hAnsi="Consolas"/>
          <w:color w:val="1F4D78"/>
          <w:sz w:val="21"/>
        </w:rPr>
        <w:t>docs/dcca-content-architecture.md</w:t>
      </w:r>
    </w:p>
    <w:p>
      <w:pPr>
        <w:pStyle w:val="ListBullet"/>
      </w:pPr>
      <w:r>
        <w:rPr>
          <w:rFonts w:ascii="Consolas" w:hAnsi="Consolas"/>
          <w:color w:val="1F4D78"/>
          <w:sz w:val="21"/>
        </w:rPr>
        <w:t>scripts/audits/catalog-question-quality-audit.md</w:t>
      </w:r>
    </w:p>
    <w:p>
      <w:pPr>
        <w:pStyle w:val="ListBullet"/>
      </w:pPr>
      <w:r>
        <w:rPr>
          <w:rFonts w:ascii="Consolas" w:hAnsi="Consolas"/>
          <w:color w:val="1F4D78"/>
          <w:sz w:val="21"/>
        </w:rPr>
        <w:t>scripts/audits/recent-cert-quality-audit.md</w:t>
      </w:r>
    </w:p>
    <w:p>
      <w:pPr>
        <w:pStyle w:val="ListBullet"/>
      </w:pPr>
      <w:r>
        <w:rPr>
          <w:rFonts w:ascii="Consolas" w:hAnsi="Consolas"/>
          <w:color w:val="1F4D78"/>
          <w:sz w:val="21"/>
        </w:rPr>
        <w:t>scripts/audits/ccna-prod-readiness-audit.md</w:t>
      </w:r>
    </w:p>
    <w:p>
      <w:pPr>
        <w:pStyle w:val="ListBullet"/>
      </w:pPr>
      <w:r>
        <w:rPr>
          <w:rFonts w:ascii="Consolas" w:hAnsi="Consolas"/>
          <w:color w:val="1F4D78"/>
          <w:sz w:val="21"/>
        </w:rPr>
        <w:t>scripts/audits/saa-c03-content-architecture.md</w:t>
      </w:r>
    </w:p>
    <w:p>
      <w:pPr>
        <w:pStyle w:val="ListBullet"/>
      </w:pPr>
      <w:r>
        <w:rPr>
          <w:rFonts w:ascii="Calibri" w:hAnsi="Calibri"/>
          <w:color w:val="19212D"/>
          <w:sz w:val="22"/>
        </w:rPr>
        <w:t>Git history and branch state</w:t>
      </w:r>
    </w:p>
    <w:p>
      <w:pPr>
        <w:pStyle w:val="ListBullet"/>
      </w:pPr>
      <w:r>
        <w:rPr>
          <w:rFonts w:ascii="Calibri" w:hAnsi="Calibri"/>
          <w:color w:val="19212D"/>
          <w:sz w:val="22"/>
        </w:rPr>
        <w:t>Latest local lint, test, build, browser, content-count, and dependency-audit outputs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774"/>
        <w:sz w:val="18"/>
      </w:rPr>
      <w:t xml:space="preserve">Page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b/>
        <w:color w:val="5C6774"/>
        <w:sz w:val="18"/>
      </w:rPr>
      <w:t>freecertprep | Board Review | June 8,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921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freecertprep Board Review</dc:title>
  <dc:subject>Product, content, technology, risk, and strategy review</dc:subject>
  <dc:creator>freecertprep</dc:creator>
  <cp:keywords>board review, certification prep, roadmap, product strategy</cp:keywords>
  <dc:description>generated by python-docx</dc:description>
  <cp:lastModifiedBy/>
  <cp:revision>1</cp:revision>
  <dcterms:created xsi:type="dcterms:W3CDTF">2013-12-23T23:15:00Z</dcterms:created>
  <dcterms:modified xsi:type="dcterms:W3CDTF">2013-12-23T23:15:00Z</dcterms:modified>
  <cp:category/>
</cp:coreProperties>
</file>