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2406"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rsidR="00A92406"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20XX</w:t>
      </w:r>
    </w:p>
    <w:p w:rsidR="00A92406" w:rsidRDefault="00C03945">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rPr>
          <w:noProof/>
        </w:rPr>
        <w:pict w14:anchorId="0806B895">
          <v:rect id="_x0000_i1025" alt="" style="width:468pt;height:.05pt;mso-width-percent:0;mso-height-percent:0;mso-width-percent:0;mso-height-percent:0" o:hralign="center" o:hrstd="t" o:hr="t" fillcolor="#a0a0a0" stroked="f"/>
        </w:pict>
      </w:r>
    </w:p>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rsidR="00A92406"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rsidR="00A92406"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rsidR="00C356FD" w:rsidRDefault="00C356FD" w:rsidP="00C356FD"/>
    <w:p w:rsidR="00C356FD" w:rsidRPr="00C356FD" w:rsidRDefault="00C356FD" w:rsidP="00C356FD">
      <w:r>
        <w:t>The database server is essential to business operations because it stores critical customer, operational, and analytical data used to support daily processes and strategic decision-making. Protecting this data is important for maintaining confidentiality, ensuring accurate reporting, and supporting marketing and performance analysis. A compromise of the server could halt key businesses functions, lead to data loss, and cause reputational or financial damage. This vulnerability assessment aims to identify potential threats to the server and evaluate the risks that could impact the confidentiality, integrity, and availability of the information system.</w:t>
      </w:r>
    </w:p>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rsidR="00A92406" w:rsidRDefault="00A92406">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A92406">
        <w:tc>
          <w:tcPr>
            <w:tcW w:w="1860" w:type="dxa"/>
            <w:shd w:val="clear" w:color="auto" w:fill="C9DAF8"/>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A92406">
        <w:tc>
          <w:tcPr>
            <w:tcW w:w="186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External attacker</w:t>
            </w:r>
          </w:p>
        </w:tc>
        <w:tc>
          <w:tcPr>
            <w:tcW w:w="3615"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Perform reconnaissance and exploit vulnerabilities to gain unauthorized access</w:t>
            </w:r>
          </w:p>
        </w:tc>
        <w:tc>
          <w:tcPr>
            <w:tcW w:w="1395" w:type="dxa"/>
            <w:shd w:val="clear" w:color="auto" w:fill="auto"/>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shd w:val="clear" w:color="auto" w:fill="auto"/>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shd w:val="clear" w:color="auto" w:fill="auto"/>
            <w:tcMar>
              <w:top w:w="100" w:type="dxa"/>
              <w:left w:w="100" w:type="dxa"/>
              <w:bottom w:w="100" w:type="dxa"/>
              <w:right w:w="100" w:type="dxa"/>
            </w:tcMar>
          </w:tcPr>
          <w:p w:rsidR="00A92406"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A92406">
        <w:tc>
          <w:tcPr>
            <w:tcW w:w="186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Malicious insider (Employee)</w:t>
            </w:r>
          </w:p>
        </w:tc>
        <w:tc>
          <w:tcPr>
            <w:tcW w:w="3615"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95"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r w:rsidR="00A92406">
        <w:tc>
          <w:tcPr>
            <w:tcW w:w="186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lastRenderedPageBreak/>
              <w:t>Careless user/Admin error (Staff)</w:t>
            </w:r>
          </w:p>
        </w:tc>
        <w:tc>
          <w:tcPr>
            <w:tcW w:w="3615"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Misconfiguration leading to exposure of critical data or downtime</w:t>
            </w:r>
          </w:p>
        </w:tc>
        <w:tc>
          <w:tcPr>
            <w:tcW w:w="1395"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110" w:type="dxa"/>
            <w:shd w:val="clear" w:color="auto" w:fill="auto"/>
            <w:tcMar>
              <w:top w:w="100" w:type="dxa"/>
              <w:left w:w="100" w:type="dxa"/>
              <w:bottom w:w="100" w:type="dxa"/>
              <w:right w:w="100" w:type="dxa"/>
            </w:tcMar>
          </w:tcPr>
          <w:p w:rsidR="00A92406" w:rsidRDefault="00C356FD">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t>Approach</w:t>
      </w:r>
    </w:p>
    <w:p w:rsidR="00C356FD" w:rsidRDefault="00C356FD" w:rsidP="00C356FD"/>
    <w:p w:rsidR="00C356FD" w:rsidRPr="00C356FD" w:rsidRDefault="00C356FD" w:rsidP="00C356FD">
      <w:r>
        <w:t>The risk selected for evaluation were based on common security issues affecting publicly accessible database servers and aligned with the system description. Likelihood and severity were determined using NIST SP 800-30 Rev. 1 qualitative scoring, considering factors such as attacker capability, frequency of incidents, and the impact on organizational operations. Each score reflects a combination of security best practices and expert judg</w:t>
      </w:r>
      <w:r w:rsidR="0001589A">
        <w:t xml:space="preserve">ment. One limitation of this assessment is that qualitative scoring introduces some subjectivity, as it relies on experience rather than measurable data. </w:t>
      </w:r>
      <w:r>
        <w:t xml:space="preserve"> </w:t>
      </w:r>
    </w:p>
    <w:p w:rsidR="00A92406"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rsidR="00A92406" w:rsidRDefault="00A92406">
      <w:pPr>
        <w:rPr>
          <w:rFonts w:ascii="Google Sans" w:eastAsia="Google Sans" w:hAnsi="Google Sans" w:cs="Google Sans"/>
          <w:color w:val="353744"/>
        </w:rPr>
      </w:pPr>
    </w:p>
    <w:p w:rsidR="0001589A" w:rsidRDefault="0001589A">
      <w:r>
        <w:rPr>
          <w:rFonts w:ascii="Google Sans" w:eastAsia="Google Sans" w:hAnsi="Google Sans" w:cs="Google Sans"/>
          <w:color w:val="353744"/>
        </w:rPr>
        <w:t xml:space="preserve">To reduce the identified risks, several technical administrative controls should be implemented. Multi-factor authentication (MFA), least-privilege access, and strong password policies will help reduce unauthorized access from both external attackers and insiders. Regular patching, configuration reviews, and automated monitoring tool can prevent misconfigurations and reduce vulnerabilities. Network segmentations, TLS encryption, and intrusion detection systems will further protect sensitive data and minimize the impact of potential breaches. Implementing these controls will significantly strengthen the overall security posture of the information system.  </w:t>
      </w:r>
    </w:p>
    <w:sectPr w:rsidR="000158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Proxima Nova">
    <w:charset w:val="00"/>
    <w:family w:val="auto"/>
    <w:pitch w:val="default"/>
  </w:font>
  <w:font w:name="Google San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F3C5E"/>
    <w:multiLevelType w:val="multilevel"/>
    <w:tmpl w:val="32CAF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B2566F"/>
    <w:multiLevelType w:val="multilevel"/>
    <w:tmpl w:val="31E2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7625CF"/>
    <w:multiLevelType w:val="multilevel"/>
    <w:tmpl w:val="67325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2632283">
    <w:abstractNumId w:val="0"/>
  </w:num>
  <w:num w:numId="2" w16cid:durableId="1985693383">
    <w:abstractNumId w:val="1"/>
  </w:num>
  <w:num w:numId="3" w16cid:durableId="531190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406"/>
    <w:rsid w:val="0001589A"/>
    <w:rsid w:val="00A92406"/>
    <w:rsid w:val="00C03945"/>
    <w:rsid w:val="00C35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CEE1"/>
  <w15:docId w15:val="{B644E62C-8A69-6B48-85A5-4D5D1F8E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2025-11-25T04:52:00Z</dcterms:created>
  <dcterms:modified xsi:type="dcterms:W3CDTF">2025-11-25T05:19:00Z</dcterms:modified>
</cp:coreProperties>
</file>