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7E33" w:rsidRPr="00B67E33" w:rsidRDefault="00B67E33" w:rsidP="00B67E33">
      <w:pPr>
        <w:shd w:val="clear" w:color="auto" w:fill="FFFFFF"/>
        <w:spacing w:after="180"/>
        <w:outlineLvl w:val="1"/>
        <w:rPr>
          <w:rFonts w:ascii="Helvetica Neue" w:eastAsia="Times New Roman" w:hAnsi="Helvetica Neue" w:cs="Times New Roman"/>
          <w:b/>
          <w:bCs/>
          <w:color w:val="313236"/>
          <w:sz w:val="29"/>
          <w:szCs w:val="29"/>
        </w:rPr>
      </w:pPr>
      <w:bookmarkStart w:id="0" w:name="_GoBack"/>
      <w:bookmarkEnd w:id="0"/>
      <w:r w:rsidRPr="00B67E33">
        <w:rPr>
          <w:rFonts w:ascii="Helvetica Neue" w:eastAsia="Times New Roman" w:hAnsi="Helvetica Neue" w:cs="Times New Roman"/>
          <w:b/>
          <w:bCs/>
          <w:color w:val="313236"/>
          <w:sz w:val="29"/>
          <w:szCs w:val="29"/>
        </w:rPr>
        <w:t xml:space="preserve">Unit 1 | Assignment - </w:t>
      </w:r>
      <w:proofErr w:type="spellStart"/>
      <w:r w:rsidRPr="00B67E33">
        <w:rPr>
          <w:rFonts w:ascii="Helvetica Neue" w:eastAsia="Times New Roman" w:hAnsi="Helvetica Neue" w:cs="Times New Roman"/>
          <w:b/>
          <w:bCs/>
          <w:color w:val="313236"/>
          <w:sz w:val="29"/>
          <w:szCs w:val="29"/>
        </w:rPr>
        <w:t>KickStart</w:t>
      </w:r>
      <w:proofErr w:type="spellEnd"/>
      <w:r w:rsidRPr="00B67E33">
        <w:rPr>
          <w:rFonts w:ascii="Helvetica Neue" w:eastAsia="Times New Roman" w:hAnsi="Helvetica Neue" w:cs="Times New Roman"/>
          <w:b/>
          <w:bCs/>
          <w:color w:val="313236"/>
          <w:sz w:val="29"/>
          <w:szCs w:val="29"/>
        </w:rPr>
        <w:t xml:space="preserve"> My Chart</w:t>
      </w:r>
    </w:p>
    <w:p w:rsidR="00B67E33" w:rsidRDefault="00B67E33" w:rsidP="00EA14D7">
      <w:pPr>
        <w:numPr>
          <w:ilvl w:val="0"/>
          <w:numId w:val="1"/>
        </w:numPr>
        <w:shd w:val="clear" w:color="auto" w:fill="FFFFFF"/>
        <w:spacing w:after="100" w:afterAutospacing="1" w:line="360" w:lineRule="auto"/>
        <w:jc w:val="both"/>
        <w:rPr>
          <w:rFonts w:ascii="Helvetica Neue" w:eastAsia="Times New Roman" w:hAnsi="Helvetica Neue" w:cs="Times New Roman"/>
          <w:color w:val="5C5C5C"/>
          <w:sz w:val="23"/>
          <w:szCs w:val="23"/>
        </w:rPr>
      </w:pPr>
      <w:r w:rsidRPr="00B67E33">
        <w:rPr>
          <w:rFonts w:ascii="Helvetica Neue" w:eastAsia="Times New Roman" w:hAnsi="Helvetica Neue" w:cs="Times New Roman"/>
          <w:color w:val="5C5C5C"/>
          <w:sz w:val="23"/>
          <w:szCs w:val="23"/>
        </w:rPr>
        <w:t>What are three conclusions we can make about Kickstarter campaigns given the provided data?</w:t>
      </w:r>
    </w:p>
    <w:p w:rsidR="00894689" w:rsidRDefault="00894689" w:rsidP="00EA14D7">
      <w:pPr>
        <w:spacing w:line="360" w:lineRule="auto"/>
        <w:jc w:val="both"/>
        <w:rPr>
          <w:rFonts w:ascii="Times New Roman" w:eastAsia="Times New Roman" w:hAnsi="Times New Roman" w:cs="Times New Roman"/>
        </w:rPr>
      </w:pPr>
      <w:r>
        <w:rPr>
          <w:rFonts w:ascii="Helvetica Neue" w:eastAsia="Times New Roman" w:hAnsi="Helvetica Neue" w:cs="Times New Roman"/>
          <w:color w:val="5C5C5C"/>
          <w:sz w:val="23"/>
          <w:szCs w:val="23"/>
        </w:rPr>
        <w:t>The</w:t>
      </w:r>
      <w:r w:rsidR="000F0297">
        <w:rPr>
          <w:rFonts w:ascii="Helvetica Neue" w:eastAsia="Times New Roman" w:hAnsi="Helvetica Neue" w:cs="Times New Roman"/>
          <w:color w:val="5C5C5C"/>
          <w:sz w:val="23"/>
          <w:szCs w:val="23"/>
        </w:rPr>
        <w:t xml:space="preserve"> following graph</w:t>
      </w:r>
      <w:r>
        <w:rPr>
          <w:rFonts w:ascii="Helvetica Neue" w:eastAsia="Times New Roman" w:hAnsi="Helvetica Neue" w:cs="Times New Roman"/>
          <w:color w:val="5C5C5C"/>
          <w:sz w:val="23"/>
          <w:szCs w:val="23"/>
        </w:rPr>
        <w:t xml:space="preserve"> shows</w:t>
      </w:r>
      <w:r w:rsidR="000F0297">
        <w:rPr>
          <w:rFonts w:ascii="Helvetica Neue" w:eastAsia="Times New Roman" w:hAnsi="Helvetica Neue" w:cs="Times New Roman"/>
          <w:color w:val="5C5C5C"/>
          <w:sz w:val="23"/>
          <w:szCs w:val="23"/>
        </w:rPr>
        <w:t xml:space="preserve"> that o</w:t>
      </w:r>
      <w:r w:rsidR="000F0297" w:rsidRPr="000F0297">
        <w:rPr>
          <w:rFonts w:ascii="Helvetica Neue" w:eastAsia="Times New Roman" w:hAnsi="Helvetica Neue" w:cs="Times New Roman"/>
          <w:color w:val="5C5D5E"/>
          <w:sz w:val="23"/>
          <w:szCs w:val="23"/>
          <w:shd w:val="clear" w:color="auto" w:fill="FFFFFF"/>
        </w:rPr>
        <w:t xml:space="preserve">f the over 300,000 projects </w:t>
      </w:r>
      <w:r w:rsidR="000F0297">
        <w:rPr>
          <w:rFonts w:ascii="Helvetica Neue" w:eastAsia="Times New Roman" w:hAnsi="Helvetica Neue" w:cs="Times New Roman"/>
          <w:color w:val="5C5D5E"/>
          <w:sz w:val="23"/>
          <w:szCs w:val="23"/>
          <w:shd w:val="clear" w:color="auto" w:fill="FFFFFF"/>
        </w:rPr>
        <w:t>l</w:t>
      </w:r>
      <w:r w:rsidR="000F0297" w:rsidRPr="000F0297">
        <w:rPr>
          <w:rFonts w:ascii="Helvetica Neue" w:eastAsia="Times New Roman" w:hAnsi="Helvetica Neue" w:cs="Times New Roman"/>
          <w:color w:val="5C5D5E"/>
          <w:sz w:val="23"/>
          <w:szCs w:val="23"/>
          <w:shd w:val="clear" w:color="auto" w:fill="FFFFFF"/>
        </w:rPr>
        <w:t>aunched on Kickstarter, </w:t>
      </w:r>
      <w:r w:rsidR="000F0297">
        <w:rPr>
          <w:rFonts w:ascii="Helvetica Neue" w:eastAsia="Times New Roman" w:hAnsi="Helvetica Neue" w:cs="Times New Roman"/>
          <w:color w:val="5C5D5E"/>
          <w:sz w:val="23"/>
          <w:szCs w:val="23"/>
          <w:shd w:val="clear" w:color="auto" w:fill="FFFFFF"/>
        </w:rPr>
        <w:t xml:space="preserve">the theatre projects have the most successful </w:t>
      </w:r>
      <w:r w:rsidR="00D95C59">
        <w:rPr>
          <w:rFonts w:ascii="Helvetica Neue" w:eastAsia="Times New Roman" w:hAnsi="Helvetica Neue" w:cs="Times New Roman"/>
          <w:color w:val="5C5D5E"/>
          <w:sz w:val="23"/>
          <w:szCs w:val="23"/>
          <w:shd w:val="clear" w:color="auto" w:fill="FFFFFF"/>
        </w:rPr>
        <w:t>number</w:t>
      </w:r>
      <w:r w:rsidR="000F0297">
        <w:rPr>
          <w:rFonts w:ascii="Helvetica Neue" w:eastAsia="Times New Roman" w:hAnsi="Helvetica Neue" w:cs="Times New Roman"/>
          <w:color w:val="5C5D5E"/>
          <w:sz w:val="23"/>
          <w:szCs w:val="23"/>
          <w:shd w:val="clear" w:color="auto" w:fill="FFFFFF"/>
        </w:rPr>
        <w:t xml:space="preserve"> of projects. However</w:t>
      </w:r>
      <w:r w:rsidR="00D95C59">
        <w:rPr>
          <w:rFonts w:ascii="Helvetica Neue" w:eastAsia="Times New Roman" w:hAnsi="Helvetica Neue" w:cs="Times New Roman"/>
          <w:color w:val="5C5D5E"/>
          <w:sz w:val="23"/>
          <w:szCs w:val="23"/>
          <w:shd w:val="clear" w:color="auto" w:fill="FFFFFF"/>
        </w:rPr>
        <w:t>,</w:t>
      </w:r>
      <w:r w:rsidR="000F0297">
        <w:rPr>
          <w:rFonts w:ascii="Helvetica Neue" w:eastAsia="Times New Roman" w:hAnsi="Helvetica Neue" w:cs="Times New Roman"/>
          <w:color w:val="5C5D5E"/>
          <w:sz w:val="23"/>
          <w:szCs w:val="23"/>
          <w:shd w:val="clear" w:color="auto" w:fill="FFFFFF"/>
        </w:rPr>
        <w:t xml:space="preserve"> we can also take in consideration that it has the bigges</w:t>
      </w:r>
      <w:r w:rsidR="00D95C59">
        <w:rPr>
          <w:rFonts w:ascii="Helvetica Neue" w:eastAsia="Times New Roman" w:hAnsi="Helvetica Neue" w:cs="Times New Roman"/>
          <w:color w:val="5C5D5E"/>
          <w:sz w:val="23"/>
          <w:szCs w:val="23"/>
          <w:shd w:val="clear" w:color="auto" w:fill="FFFFFF"/>
        </w:rPr>
        <w:t>t amount of fails. On the other hand, you can also consider those projects with the biggest amount of successful per least failed and you will find the music projects.</w:t>
      </w:r>
    </w:p>
    <w:p w:rsidR="00894689" w:rsidRPr="00894689" w:rsidRDefault="00894689" w:rsidP="00894689">
      <w:pPr>
        <w:rPr>
          <w:rFonts w:ascii="Times New Roman" w:eastAsia="Times New Roman" w:hAnsi="Times New Roman" w:cs="Times New Roman"/>
        </w:rPr>
      </w:pPr>
    </w:p>
    <w:p w:rsidR="00D95C59" w:rsidRPr="00894689" w:rsidRDefault="000F0297" w:rsidP="00894689">
      <w:pPr>
        <w:shd w:val="clear" w:color="auto" w:fill="FFFFFF"/>
        <w:spacing w:after="100" w:afterAutospacing="1" w:line="384" w:lineRule="atLeast"/>
        <w:ind w:left="360"/>
        <w:rPr>
          <w:rFonts w:ascii="Helvetica Neue" w:eastAsia="Times New Roman" w:hAnsi="Helvetica Neue" w:cs="Times New Roman"/>
          <w:color w:val="5C5C5C"/>
          <w:sz w:val="23"/>
          <w:szCs w:val="23"/>
        </w:rPr>
      </w:pPr>
      <w:r>
        <w:rPr>
          <w:noProof/>
        </w:rPr>
        <w:drawing>
          <wp:inline distT="0" distB="0" distL="0" distR="0" wp14:anchorId="6512509C" wp14:editId="21D1E7A3">
            <wp:extent cx="5943600" cy="3926840"/>
            <wp:effectExtent l="0" t="0" r="12700" b="10160"/>
            <wp:docPr id="1" name="Chart 1">
              <a:extLst xmlns:a="http://schemas.openxmlformats.org/drawingml/2006/main">
                <a:ext uri="{FF2B5EF4-FFF2-40B4-BE49-F238E27FC236}">
                  <a16:creationId xmlns:a16="http://schemas.microsoft.com/office/drawing/2014/main" id="{20C252AB-A595-4C60-9039-8849570226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F0297" w:rsidRDefault="00894689" w:rsidP="00EA14D7">
      <w:pPr>
        <w:shd w:val="clear" w:color="auto" w:fill="FFFFFF"/>
        <w:spacing w:after="100" w:afterAutospacing="1" w:line="360" w:lineRule="auto"/>
        <w:jc w:val="both"/>
        <w:rPr>
          <w:rFonts w:ascii="Helvetica Neue" w:eastAsia="Times New Roman" w:hAnsi="Helvetica Neue" w:cs="Times New Roman"/>
          <w:color w:val="5C5C5C"/>
          <w:sz w:val="23"/>
          <w:szCs w:val="23"/>
        </w:rPr>
      </w:pPr>
      <w:r>
        <w:rPr>
          <w:rFonts w:ascii="Helvetica Neue" w:eastAsia="Times New Roman" w:hAnsi="Helvetica Neue" w:cs="Times New Roman"/>
          <w:color w:val="5C5C5C"/>
          <w:sz w:val="23"/>
          <w:szCs w:val="23"/>
        </w:rPr>
        <w:t xml:space="preserve">As observed in the following graph, between the end of the second quarter and the beginning of the third quarter of the year, Kickstarter launched more projects. May was the month with the most successful number of projects, is above the average rate of successful projects by 52 points. However, is also a month where the rate of failed projects was also increasing. The month with the least number of failed projects was April but it didn’t have a high </w:t>
      </w:r>
      <w:r w:rsidR="00EA14D7">
        <w:rPr>
          <w:rFonts w:ascii="Helvetica Neue" w:eastAsia="Times New Roman" w:hAnsi="Helvetica Neue" w:cs="Times New Roman"/>
          <w:color w:val="5C5C5C"/>
          <w:sz w:val="23"/>
          <w:szCs w:val="23"/>
        </w:rPr>
        <w:t>number</w:t>
      </w:r>
      <w:r>
        <w:rPr>
          <w:rFonts w:ascii="Helvetica Neue" w:eastAsia="Times New Roman" w:hAnsi="Helvetica Neue" w:cs="Times New Roman"/>
          <w:color w:val="5C5C5C"/>
          <w:sz w:val="23"/>
          <w:szCs w:val="23"/>
        </w:rPr>
        <w:t xml:space="preserve"> of successful projects.</w:t>
      </w:r>
    </w:p>
    <w:p w:rsidR="00894689" w:rsidRDefault="00894689" w:rsidP="00894689">
      <w:pPr>
        <w:shd w:val="clear" w:color="auto" w:fill="FFFFFF"/>
        <w:spacing w:after="100" w:afterAutospacing="1" w:line="384" w:lineRule="atLeast"/>
        <w:rPr>
          <w:rFonts w:ascii="Helvetica Neue" w:eastAsia="Times New Roman" w:hAnsi="Helvetica Neue" w:cs="Times New Roman"/>
          <w:color w:val="5C5C5C"/>
          <w:sz w:val="23"/>
          <w:szCs w:val="23"/>
        </w:rPr>
      </w:pPr>
      <w:r>
        <w:rPr>
          <w:noProof/>
        </w:rPr>
        <w:lastRenderedPageBreak/>
        <w:drawing>
          <wp:inline distT="0" distB="0" distL="0" distR="0" wp14:anchorId="1249AD96" wp14:editId="44ACC771">
            <wp:extent cx="5943600" cy="2980690"/>
            <wp:effectExtent l="0" t="0" r="12700" b="16510"/>
            <wp:docPr id="2" name="Chart 2">
              <a:extLst xmlns:a="http://schemas.openxmlformats.org/drawingml/2006/main">
                <a:ext uri="{FF2B5EF4-FFF2-40B4-BE49-F238E27FC236}">
                  <a16:creationId xmlns:a16="http://schemas.microsoft.com/office/drawing/2014/main" id="{FA6B103E-9545-4200-81DC-9B5CD5FB75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94689" w:rsidRDefault="00894689" w:rsidP="00EA14D7">
      <w:pPr>
        <w:shd w:val="clear" w:color="auto" w:fill="FFFFFF"/>
        <w:spacing w:after="100" w:afterAutospacing="1" w:line="360" w:lineRule="auto"/>
        <w:jc w:val="both"/>
        <w:rPr>
          <w:rFonts w:ascii="Helvetica Neue" w:eastAsia="Times New Roman" w:hAnsi="Helvetica Neue" w:cs="Times New Roman"/>
          <w:color w:val="5C5C5C"/>
          <w:sz w:val="23"/>
          <w:szCs w:val="23"/>
        </w:rPr>
      </w:pPr>
      <w:r>
        <w:rPr>
          <w:rFonts w:ascii="Helvetica Neue" w:eastAsia="Times New Roman" w:hAnsi="Helvetica Neue" w:cs="Times New Roman"/>
          <w:color w:val="5C5C5C"/>
          <w:sz w:val="23"/>
          <w:szCs w:val="23"/>
        </w:rPr>
        <w:t>The following graph shows that the projects with a goal of less than a 1000 USD were more successful than t</w:t>
      </w:r>
      <w:r w:rsidR="00EA14D7">
        <w:rPr>
          <w:rFonts w:ascii="Helvetica Neue" w:eastAsia="Times New Roman" w:hAnsi="Helvetica Neue" w:cs="Times New Roman"/>
          <w:color w:val="5C5C5C"/>
          <w:sz w:val="23"/>
          <w:szCs w:val="23"/>
        </w:rPr>
        <w:t>he ones with the biggest amount. While the goal increases the successful rate decreases and the projects will be most likely to fail.</w:t>
      </w:r>
    </w:p>
    <w:p w:rsidR="00894689" w:rsidRPr="00B67E33" w:rsidRDefault="00894689" w:rsidP="00894689">
      <w:pPr>
        <w:shd w:val="clear" w:color="auto" w:fill="FFFFFF"/>
        <w:spacing w:after="100" w:afterAutospacing="1" w:line="384" w:lineRule="atLeast"/>
        <w:rPr>
          <w:rFonts w:ascii="Helvetica Neue" w:eastAsia="Times New Roman" w:hAnsi="Helvetica Neue" w:cs="Times New Roman"/>
          <w:color w:val="5C5C5C"/>
          <w:sz w:val="23"/>
          <w:szCs w:val="23"/>
        </w:rPr>
      </w:pPr>
      <w:r>
        <w:rPr>
          <w:noProof/>
        </w:rPr>
        <w:drawing>
          <wp:inline distT="0" distB="0" distL="0" distR="0" wp14:anchorId="7556D01A" wp14:editId="68A9EADA">
            <wp:extent cx="5943600" cy="1987550"/>
            <wp:effectExtent l="0" t="0" r="12700" b="6350"/>
            <wp:docPr id="3" name="Chart 3">
              <a:extLst xmlns:a="http://schemas.openxmlformats.org/drawingml/2006/main">
                <a:ext uri="{FF2B5EF4-FFF2-40B4-BE49-F238E27FC236}">
                  <a16:creationId xmlns:a16="http://schemas.microsoft.com/office/drawing/2014/main" id="{923FAD1E-1C91-4FAB-825D-B6F705370A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67E33" w:rsidRDefault="00B67E33" w:rsidP="00EA14D7">
      <w:pPr>
        <w:numPr>
          <w:ilvl w:val="0"/>
          <w:numId w:val="1"/>
        </w:numPr>
        <w:shd w:val="clear" w:color="auto" w:fill="FFFFFF"/>
        <w:spacing w:before="100" w:beforeAutospacing="1" w:after="100" w:afterAutospacing="1" w:line="360" w:lineRule="auto"/>
        <w:rPr>
          <w:rFonts w:ascii="Helvetica Neue" w:eastAsia="Times New Roman" w:hAnsi="Helvetica Neue" w:cs="Times New Roman"/>
          <w:color w:val="5C5C5C"/>
          <w:sz w:val="23"/>
          <w:szCs w:val="23"/>
        </w:rPr>
      </w:pPr>
      <w:r w:rsidRPr="00B67E33">
        <w:rPr>
          <w:rFonts w:ascii="Helvetica Neue" w:eastAsia="Times New Roman" w:hAnsi="Helvetica Neue" w:cs="Times New Roman"/>
          <w:color w:val="5C5C5C"/>
          <w:sz w:val="23"/>
          <w:szCs w:val="23"/>
        </w:rPr>
        <w:t>What are some of the limitations of this dataset?</w:t>
      </w:r>
    </w:p>
    <w:p w:rsidR="000F0297" w:rsidRPr="00EA14D7" w:rsidRDefault="00EA14D7" w:rsidP="00EA14D7">
      <w:pPr>
        <w:spacing w:line="360" w:lineRule="auto"/>
        <w:jc w:val="both"/>
        <w:rPr>
          <w:rFonts w:ascii="Helvetica Neue" w:eastAsia="Times New Roman" w:hAnsi="Helvetica Neue" w:cs="Times New Roman"/>
          <w:color w:val="5C5C5C"/>
          <w:sz w:val="23"/>
          <w:szCs w:val="23"/>
        </w:rPr>
      </w:pPr>
      <w:r w:rsidRPr="00EA14D7">
        <w:rPr>
          <w:rFonts w:ascii="Helvetica Neue" w:eastAsia="Times New Roman" w:hAnsi="Helvetica Neue" w:cs="Times New Roman"/>
          <w:color w:val="5C5C5C"/>
          <w:sz w:val="23"/>
          <w:szCs w:val="23"/>
        </w:rPr>
        <w:t>The data set doesn’t show the expenses so you can calculate specific costs related to the project, the lifetime of the project to know if they were really successful in the future, there are also about 7 duplicated projects (with the same name, but different blurb) it’s not specified that they are not related projects, you don’t know how many people was involved in each project.</w:t>
      </w:r>
    </w:p>
    <w:p w:rsidR="000F0297" w:rsidRPr="00B67E33" w:rsidRDefault="000F0297" w:rsidP="000F0297">
      <w:pPr>
        <w:shd w:val="clear" w:color="auto" w:fill="FFFFFF"/>
        <w:spacing w:before="100" w:beforeAutospacing="1" w:after="100" w:afterAutospacing="1" w:line="384" w:lineRule="atLeast"/>
        <w:ind w:left="720"/>
        <w:rPr>
          <w:rFonts w:ascii="Helvetica Neue" w:eastAsia="Times New Roman" w:hAnsi="Helvetica Neue" w:cs="Times New Roman"/>
          <w:color w:val="5C5C5C"/>
          <w:sz w:val="23"/>
          <w:szCs w:val="23"/>
        </w:rPr>
      </w:pPr>
    </w:p>
    <w:p w:rsidR="00B67E33" w:rsidRPr="00B67E33" w:rsidRDefault="00B67E33" w:rsidP="00B67E33">
      <w:pPr>
        <w:numPr>
          <w:ilvl w:val="0"/>
          <w:numId w:val="1"/>
        </w:numPr>
        <w:shd w:val="clear" w:color="auto" w:fill="FFFFFF"/>
        <w:spacing w:before="100" w:beforeAutospacing="1" w:after="100" w:afterAutospacing="1" w:line="384" w:lineRule="atLeast"/>
        <w:rPr>
          <w:rFonts w:ascii="Helvetica Neue" w:eastAsia="Times New Roman" w:hAnsi="Helvetica Neue" w:cs="Times New Roman"/>
          <w:color w:val="5C5C5C"/>
          <w:sz w:val="23"/>
          <w:szCs w:val="23"/>
        </w:rPr>
      </w:pPr>
      <w:r w:rsidRPr="00B67E33">
        <w:rPr>
          <w:rFonts w:ascii="Helvetica Neue" w:eastAsia="Times New Roman" w:hAnsi="Helvetica Neue" w:cs="Times New Roman"/>
          <w:color w:val="5C5C5C"/>
          <w:sz w:val="23"/>
          <w:szCs w:val="23"/>
        </w:rPr>
        <w:t>What are some other possible tables/graphs that we could create?</w:t>
      </w:r>
    </w:p>
    <w:p w:rsidR="00B67E33" w:rsidRDefault="00B67E33">
      <w:pPr>
        <w:rPr>
          <w:rFonts w:ascii="Helvetica Neue" w:eastAsia="Times New Roman" w:hAnsi="Helvetica Neue" w:cs="Times New Roman"/>
          <w:color w:val="5C5C5C"/>
          <w:sz w:val="23"/>
          <w:szCs w:val="23"/>
        </w:rPr>
      </w:pPr>
    </w:p>
    <w:p w:rsidR="00B67E33" w:rsidRDefault="00BB40E7">
      <w:pPr>
        <w:rPr>
          <w:rFonts w:ascii="Helvetica Neue" w:eastAsia="Times New Roman" w:hAnsi="Helvetica Neue" w:cs="Times New Roman"/>
          <w:color w:val="5C5C5C"/>
          <w:sz w:val="23"/>
          <w:szCs w:val="23"/>
        </w:rPr>
      </w:pPr>
      <w:r>
        <w:rPr>
          <w:rFonts w:ascii="Helvetica Neue" w:eastAsia="Times New Roman" w:hAnsi="Helvetica Neue" w:cs="Times New Roman"/>
          <w:color w:val="5C5C5C"/>
          <w:sz w:val="23"/>
          <w:szCs w:val="23"/>
        </w:rPr>
        <w:t>Graphs based on the location of the project to know the country with the most successful project.</w:t>
      </w:r>
    </w:p>
    <w:p w:rsidR="00BB40E7" w:rsidRDefault="00BB40E7">
      <w:pPr>
        <w:rPr>
          <w:rFonts w:ascii="Helvetica Neue" w:eastAsia="Times New Roman" w:hAnsi="Helvetica Neue" w:cs="Times New Roman"/>
          <w:color w:val="5C5C5C"/>
          <w:sz w:val="23"/>
          <w:szCs w:val="23"/>
        </w:rPr>
      </w:pPr>
    </w:p>
    <w:p w:rsidR="00BB40E7" w:rsidRDefault="00BB40E7">
      <w:pPr>
        <w:rPr>
          <w:rFonts w:ascii="Helvetica Neue" w:eastAsia="Times New Roman" w:hAnsi="Helvetica Neue" w:cs="Times New Roman"/>
          <w:color w:val="5C5C5C"/>
          <w:sz w:val="23"/>
          <w:szCs w:val="23"/>
        </w:rPr>
      </w:pPr>
      <w:r>
        <w:rPr>
          <w:rFonts w:ascii="Helvetica Neue" w:eastAsia="Times New Roman" w:hAnsi="Helvetica Neue" w:cs="Times New Roman"/>
          <w:color w:val="5C5C5C"/>
          <w:sz w:val="23"/>
          <w:szCs w:val="23"/>
        </w:rPr>
        <w:t>Graphs with the average donation given to a certain project, you could infer people’s or companies’ interest (interest in donating money to a project people like or are more interested in film &amp; video or music)</w:t>
      </w:r>
    </w:p>
    <w:p w:rsidR="00BB40E7" w:rsidRDefault="00BB40E7">
      <w:pPr>
        <w:rPr>
          <w:rFonts w:ascii="Helvetica Neue" w:eastAsia="Times New Roman" w:hAnsi="Helvetica Neue" w:cs="Times New Roman"/>
          <w:color w:val="5C5C5C"/>
          <w:sz w:val="23"/>
          <w:szCs w:val="23"/>
        </w:rPr>
      </w:pPr>
    </w:p>
    <w:p w:rsidR="00BB40E7" w:rsidRDefault="00BB40E7">
      <w:pPr>
        <w:rPr>
          <w:rFonts w:ascii="Helvetica Neue" w:eastAsia="Times New Roman" w:hAnsi="Helvetica Neue" w:cs="Times New Roman"/>
          <w:color w:val="5C5C5C"/>
          <w:sz w:val="23"/>
          <w:szCs w:val="23"/>
        </w:rPr>
      </w:pPr>
      <w:r>
        <w:rPr>
          <w:rFonts w:ascii="Helvetica Neue" w:eastAsia="Times New Roman" w:hAnsi="Helvetica Neue" w:cs="Times New Roman"/>
          <w:color w:val="5C5C5C"/>
          <w:sz w:val="23"/>
          <w:szCs w:val="23"/>
        </w:rPr>
        <w:t>Linear regression to study relationships between variables. If the linear regression is good and there is no autocorrelation in the residuals we could use the model for forecasts so Kickstarter could know in which projects should invest more or are more likely to succeed.</w:t>
      </w:r>
    </w:p>
    <w:p w:rsidR="00BB40E7" w:rsidRDefault="00BB40E7">
      <w:pPr>
        <w:rPr>
          <w:rFonts w:ascii="Helvetica Neue" w:eastAsia="Times New Roman" w:hAnsi="Helvetica Neue" w:cs="Times New Roman"/>
          <w:color w:val="5C5C5C"/>
          <w:sz w:val="23"/>
          <w:szCs w:val="23"/>
        </w:rPr>
      </w:pPr>
    </w:p>
    <w:p w:rsidR="00BB40E7" w:rsidRPr="00B67E33" w:rsidRDefault="00BB40E7">
      <w:pPr>
        <w:rPr>
          <w:rFonts w:ascii="Helvetica Neue" w:eastAsia="Times New Roman" w:hAnsi="Helvetica Neue" w:cs="Times New Roman"/>
          <w:color w:val="5C5C5C"/>
          <w:sz w:val="23"/>
          <w:szCs w:val="23"/>
        </w:rPr>
      </w:pPr>
    </w:p>
    <w:sectPr w:rsidR="00BB40E7" w:rsidRPr="00B67E33" w:rsidSect="00C63A3A">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0001" w:rsidRDefault="00BE0001" w:rsidP="00B67E33">
      <w:r>
        <w:separator/>
      </w:r>
    </w:p>
  </w:endnote>
  <w:endnote w:type="continuationSeparator" w:id="0">
    <w:p w:rsidR="00BE0001" w:rsidRDefault="00BE0001" w:rsidP="00B67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7E33" w:rsidRPr="00B67E33" w:rsidRDefault="00B67E33" w:rsidP="00B67E33">
    <w:pPr>
      <w:shd w:val="clear" w:color="auto" w:fill="FFFFFF"/>
      <w:spacing w:after="180"/>
      <w:outlineLvl w:val="1"/>
      <w:rPr>
        <w:rFonts w:ascii="Helvetica Neue" w:eastAsia="Times New Roman" w:hAnsi="Helvetica Neue" w:cs="Times New Roman"/>
        <w:color w:val="5C5C5C"/>
        <w:sz w:val="23"/>
        <w:szCs w:val="23"/>
      </w:rPr>
    </w:pPr>
    <w:r>
      <w:rPr>
        <w:rFonts w:ascii="Helvetica Neue" w:eastAsia="Times New Roman" w:hAnsi="Helvetica Neue" w:cs="Times New Roman"/>
        <w:color w:val="5C5C5C"/>
        <w:sz w:val="23"/>
        <w:szCs w:val="23"/>
      </w:rPr>
      <w:t>NU-CODING BOOTCAMP</w:t>
    </w:r>
    <w:r>
      <w:rPr>
        <w:rFonts w:ascii="Helvetica Neue" w:eastAsia="Times New Roman" w:hAnsi="Helvetica Neue" w:cs="Times New Roman"/>
        <w:color w:val="5C5C5C"/>
        <w:sz w:val="23"/>
        <w:szCs w:val="23"/>
      </w:rPr>
      <w:tab/>
    </w:r>
    <w:r>
      <w:rPr>
        <w:rFonts w:ascii="Helvetica Neue" w:eastAsia="Times New Roman" w:hAnsi="Helvetica Neue" w:cs="Times New Roman"/>
        <w:color w:val="5C5C5C"/>
        <w:sz w:val="23"/>
        <w:szCs w:val="23"/>
      </w:rPr>
      <w:tab/>
    </w:r>
    <w:r>
      <w:rPr>
        <w:rFonts w:ascii="Helvetica Neue" w:eastAsia="Times New Roman" w:hAnsi="Helvetica Neue" w:cs="Times New Roman"/>
        <w:color w:val="5C5C5C"/>
        <w:sz w:val="23"/>
        <w:szCs w:val="23"/>
      </w:rPr>
      <w:tab/>
    </w:r>
    <w:r>
      <w:rPr>
        <w:rFonts w:ascii="Helvetica Neue" w:eastAsia="Times New Roman" w:hAnsi="Helvetica Neue" w:cs="Times New Roman"/>
        <w:color w:val="5C5C5C"/>
        <w:sz w:val="23"/>
        <w:szCs w:val="23"/>
      </w:rPr>
      <w:tab/>
    </w:r>
    <w:r>
      <w:rPr>
        <w:rFonts w:ascii="Helvetica Neue" w:eastAsia="Times New Roman" w:hAnsi="Helvetica Neue" w:cs="Times New Roman"/>
        <w:color w:val="5C5C5C"/>
        <w:sz w:val="23"/>
        <w:szCs w:val="23"/>
      </w:rPr>
      <w:tab/>
    </w:r>
    <w:r>
      <w:rPr>
        <w:rFonts w:ascii="Helvetica Neue" w:eastAsia="Times New Roman" w:hAnsi="Helvetica Neue" w:cs="Times New Roman"/>
        <w:color w:val="5C5C5C"/>
        <w:sz w:val="23"/>
        <w:szCs w:val="23"/>
      </w:rPr>
      <w:tab/>
    </w:r>
    <w:r>
      <w:rPr>
        <w:rFonts w:ascii="Helvetica Neue" w:eastAsia="Times New Roman" w:hAnsi="Helvetica Neue" w:cs="Times New Roman"/>
        <w:color w:val="5C5C5C"/>
        <w:sz w:val="23"/>
        <w:szCs w:val="23"/>
      </w:rPr>
      <w:tab/>
      <w:t xml:space="preserve">     </w:t>
    </w:r>
    <w:r>
      <w:t>Alexandria Cabello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0001" w:rsidRDefault="00BE0001" w:rsidP="00B67E33">
      <w:r>
        <w:separator/>
      </w:r>
    </w:p>
  </w:footnote>
  <w:footnote w:type="continuationSeparator" w:id="0">
    <w:p w:rsidR="00BE0001" w:rsidRDefault="00BE0001" w:rsidP="00B67E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7E33" w:rsidRPr="00B67E33" w:rsidRDefault="00B67E33" w:rsidP="00B67E33">
    <w:pPr>
      <w:shd w:val="clear" w:color="auto" w:fill="FFFFFF"/>
      <w:spacing w:after="180"/>
      <w:jc w:val="right"/>
      <w:outlineLvl w:val="1"/>
      <w:rPr>
        <w:rFonts w:ascii="Helvetica Neue" w:eastAsia="Times New Roman" w:hAnsi="Helvetica Neue" w:cs="Times New Roman"/>
        <w:color w:val="5C5C5C"/>
        <w:sz w:val="23"/>
        <w:szCs w:val="23"/>
      </w:rPr>
    </w:pPr>
    <w:r w:rsidRPr="00B67E33">
      <w:rPr>
        <w:rFonts w:ascii="Helvetica Neue" w:eastAsia="Times New Roman" w:hAnsi="Helvetica Neue" w:cs="Times New Roman"/>
        <w:color w:val="5C5C5C"/>
        <w:sz w:val="23"/>
        <w:szCs w:val="23"/>
      </w:rPr>
      <w:t>February, 03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4742C"/>
    <w:multiLevelType w:val="multilevel"/>
    <w:tmpl w:val="2D0EF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60306B"/>
    <w:multiLevelType w:val="hybridMultilevel"/>
    <w:tmpl w:val="0B343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E33"/>
    <w:rsid w:val="000F0297"/>
    <w:rsid w:val="002658E0"/>
    <w:rsid w:val="00894689"/>
    <w:rsid w:val="00B1401E"/>
    <w:rsid w:val="00B67E33"/>
    <w:rsid w:val="00BB40E7"/>
    <w:rsid w:val="00BE0001"/>
    <w:rsid w:val="00C63A3A"/>
    <w:rsid w:val="00D71F1E"/>
    <w:rsid w:val="00D95C59"/>
    <w:rsid w:val="00EA1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889DE8D-7943-5247-AD41-816E0F993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67E3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7E33"/>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B67E33"/>
    <w:pPr>
      <w:tabs>
        <w:tab w:val="center" w:pos="4680"/>
        <w:tab w:val="right" w:pos="9360"/>
      </w:tabs>
    </w:pPr>
  </w:style>
  <w:style w:type="character" w:customStyle="1" w:styleId="HeaderChar">
    <w:name w:val="Header Char"/>
    <w:basedOn w:val="DefaultParagraphFont"/>
    <w:link w:val="Header"/>
    <w:uiPriority w:val="99"/>
    <w:rsid w:val="00B67E33"/>
  </w:style>
  <w:style w:type="paragraph" w:styleId="Footer">
    <w:name w:val="footer"/>
    <w:basedOn w:val="Normal"/>
    <w:link w:val="FooterChar"/>
    <w:uiPriority w:val="99"/>
    <w:unhideWhenUsed/>
    <w:rsid w:val="00B67E33"/>
    <w:pPr>
      <w:tabs>
        <w:tab w:val="center" w:pos="4680"/>
        <w:tab w:val="right" w:pos="9360"/>
      </w:tabs>
    </w:pPr>
  </w:style>
  <w:style w:type="character" w:customStyle="1" w:styleId="FooterChar">
    <w:name w:val="Footer Char"/>
    <w:basedOn w:val="DefaultParagraphFont"/>
    <w:link w:val="Footer"/>
    <w:uiPriority w:val="99"/>
    <w:rsid w:val="00B67E33"/>
  </w:style>
  <w:style w:type="paragraph" w:styleId="ListParagraph">
    <w:name w:val="List Paragraph"/>
    <w:basedOn w:val="Normal"/>
    <w:uiPriority w:val="34"/>
    <w:qFormat/>
    <w:rsid w:val="000F0297"/>
    <w:pPr>
      <w:ind w:left="720"/>
      <w:contextualSpacing/>
    </w:pPr>
  </w:style>
  <w:style w:type="character" w:customStyle="1" w:styleId="apple-converted-space">
    <w:name w:val="apple-converted-space"/>
    <w:basedOn w:val="DefaultParagraphFont"/>
    <w:rsid w:val="000F0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975771">
      <w:bodyDiv w:val="1"/>
      <w:marLeft w:val="0"/>
      <w:marRight w:val="0"/>
      <w:marTop w:val="0"/>
      <w:marBottom w:val="0"/>
      <w:divBdr>
        <w:top w:val="none" w:sz="0" w:space="0" w:color="auto"/>
        <w:left w:val="none" w:sz="0" w:space="0" w:color="auto"/>
        <w:bottom w:val="none" w:sz="0" w:space="0" w:color="auto"/>
        <w:right w:val="none" w:sz="0" w:space="0" w:color="auto"/>
      </w:divBdr>
    </w:div>
    <w:div w:id="1063792090">
      <w:bodyDiv w:val="1"/>
      <w:marLeft w:val="0"/>
      <w:marRight w:val="0"/>
      <w:marTop w:val="0"/>
      <w:marBottom w:val="0"/>
      <w:divBdr>
        <w:top w:val="none" w:sz="0" w:space="0" w:color="auto"/>
        <w:left w:val="none" w:sz="0" w:space="0" w:color="auto"/>
        <w:bottom w:val="none" w:sz="0" w:space="0" w:color="auto"/>
        <w:right w:val="none" w:sz="0" w:space="0" w:color="auto"/>
      </w:divBdr>
    </w:div>
    <w:div w:id="130542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lexandriacabello/Downloads/StarterBook_alexandri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lexandriacabello/Downloads/StarterBook_alexandri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lexandriacabello/Downloads/StarterBook_alexandri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[StarterBook_alexandria.xlsx]Category_Table!PivotTable2</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rgbClr val="92D050"/>
          </a:solidFill>
          <a:ln>
            <a:noFill/>
          </a:ln>
          <a:effectLst/>
        </c:spPr>
        <c:marker>
          <c:symbol val="none"/>
        </c:marker>
      </c:pivotFmt>
      <c:pivotFmt>
        <c:idx val="5"/>
        <c:spPr>
          <a:solidFill>
            <a:srgbClr val="FC6060"/>
          </a:solidFill>
          <a:ln>
            <a:noFill/>
          </a:ln>
          <a:effectLst/>
        </c:spPr>
        <c:marker>
          <c:symbol val="none"/>
        </c:marker>
      </c:pivotFmt>
      <c:pivotFmt>
        <c:idx val="6"/>
        <c:spPr>
          <a:solidFill>
            <a:schemeClr val="accent4"/>
          </a:solidFill>
          <a:ln>
            <a:noFill/>
          </a:ln>
          <a:effectLst/>
        </c:spPr>
        <c:marker>
          <c:symbol val="none"/>
        </c:marker>
      </c:pivotFmt>
      <c:pivotFmt>
        <c:idx val="7"/>
        <c:spPr>
          <a:solidFill>
            <a:srgbClr val="00B0F0"/>
          </a:solidFill>
          <a:ln>
            <a:noFill/>
          </a:ln>
          <a:effectLst/>
        </c:spPr>
        <c:marker>
          <c:symbol val="none"/>
        </c:marker>
      </c:pivotFmt>
      <c:pivotFmt>
        <c:idx val="8"/>
        <c:spPr>
          <a:solidFill>
            <a:schemeClr val="accent4"/>
          </a:solidFill>
          <a:ln>
            <a:noFill/>
          </a:ln>
          <a:effectLst/>
        </c:spPr>
        <c:marker>
          <c:symbol val="none"/>
        </c:marker>
      </c:pivotFmt>
      <c:pivotFmt>
        <c:idx val="9"/>
        <c:spPr>
          <a:solidFill>
            <a:srgbClr val="FC6060"/>
          </a:solidFill>
          <a:ln>
            <a:noFill/>
          </a:ln>
          <a:effectLst/>
        </c:spPr>
        <c:marker>
          <c:symbol val="none"/>
        </c:marker>
      </c:pivotFmt>
      <c:pivotFmt>
        <c:idx val="10"/>
        <c:spPr>
          <a:solidFill>
            <a:srgbClr val="00B0F0"/>
          </a:solidFill>
          <a:ln>
            <a:noFill/>
          </a:ln>
          <a:effectLst/>
        </c:spPr>
        <c:marker>
          <c:symbol val="none"/>
        </c:marker>
      </c:pivotFmt>
      <c:pivotFmt>
        <c:idx val="11"/>
        <c:spPr>
          <a:solidFill>
            <a:srgbClr val="92D050"/>
          </a:solidFill>
          <a:ln>
            <a:noFill/>
          </a:ln>
          <a:effectLst/>
        </c:spPr>
        <c:marker>
          <c:symbol val="none"/>
        </c:marker>
      </c:pivotFmt>
      <c:pivotFmt>
        <c:idx val="12"/>
        <c:spPr>
          <a:solidFill>
            <a:schemeClr val="accent4"/>
          </a:solidFill>
          <a:ln>
            <a:noFill/>
          </a:ln>
          <a:effectLst/>
        </c:spPr>
        <c:marker>
          <c:symbol val="none"/>
        </c:marker>
      </c:pivotFmt>
      <c:pivotFmt>
        <c:idx val="13"/>
        <c:spPr>
          <a:solidFill>
            <a:srgbClr val="FC6060"/>
          </a:solidFill>
          <a:ln>
            <a:noFill/>
          </a:ln>
          <a:effectLst/>
        </c:spPr>
        <c:marker>
          <c:symbol val="none"/>
        </c:marker>
      </c:pivotFmt>
      <c:pivotFmt>
        <c:idx val="14"/>
        <c:spPr>
          <a:solidFill>
            <a:srgbClr val="00B0F0"/>
          </a:solidFill>
          <a:ln>
            <a:noFill/>
          </a:ln>
          <a:effectLst/>
        </c:spPr>
        <c:marker>
          <c:symbol val="none"/>
        </c:marker>
      </c:pivotFmt>
      <c:pivotFmt>
        <c:idx val="15"/>
        <c:spPr>
          <a:solidFill>
            <a:srgbClr val="92D050"/>
          </a:solidFill>
          <a:ln>
            <a:noFill/>
          </a:ln>
          <a:effectLst/>
        </c:spPr>
        <c:marker>
          <c:symbol val="none"/>
        </c:marker>
      </c:pivotFmt>
    </c:pivotFmts>
    <c:plotArea>
      <c:layout/>
      <c:barChart>
        <c:barDir val="col"/>
        <c:grouping val="stacked"/>
        <c:varyColors val="0"/>
        <c:ser>
          <c:idx val="0"/>
          <c:order val="0"/>
          <c:tx>
            <c:strRef>
              <c:f>Category_Table!$B$3:$B$4</c:f>
              <c:strCache>
                <c:ptCount val="1"/>
                <c:pt idx="0">
                  <c:v>canceled</c:v>
                </c:pt>
              </c:strCache>
            </c:strRef>
          </c:tx>
          <c:spPr>
            <a:solidFill>
              <a:schemeClr val="accent4"/>
            </a:solidFill>
            <a:ln>
              <a:noFill/>
            </a:ln>
            <a:effectLst/>
          </c:spPr>
          <c:invertIfNegative val="0"/>
          <c:cat>
            <c:strRef>
              <c:f>Category_Table!$A$5:$A$14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Category_Table!$B$5:$B$14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8E22-024F-AB39-C4522DF2DEE8}"/>
            </c:ext>
          </c:extLst>
        </c:ser>
        <c:ser>
          <c:idx val="1"/>
          <c:order val="1"/>
          <c:tx>
            <c:strRef>
              <c:f>Category_Table!$C$3:$C$4</c:f>
              <c:strCache>
                <c:ptCount val="1"/>
                <c:pt idx="0">
                  <c:v>failed</c:v>
                </c:pt>
              </c:strCache>
            </c:strRef>
          </c:tx>
          <c:spPr>
            <a:solidFill>
              <a:srgbClr val="FC6060"/>
            </a:solidFill>
            <a:ln>
              <a:noFill/>
            </a:ln>
            <a:effectLst/>
          </c:spPr>
          <c:invertIfNegative val="0"/>
          <c:cat>
            <c:strRef>
              <c:f>Category_Table!$A$5:$A$14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Category_Table!$C$5:$C$14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8E22-024F-AB39-C4522DF2DEE8}"/>
            </c:ext>
          </c:extLst>
        </c:ser>
        <c:ser>
          <c:idx val="2"/>
          <c:order val="2"/>
          <c:tx>
            <c:strRef>
              <c:f>Category_Table!$D$3:$D$4</c:f>
              <c:strCache>
                <c:ptCount val="1"/>
                <c:pt idx="0">
                  <c:v>live</c:v>
                </c:pt>
              </c:strCache>
            </c:strRef>
          </c:tx>
          <c:spPr>
            <a:solidFill>
              <a:srgbClr val="00B0F0"/>
            </a:solidFill>
            <a:ln>
              <a:noFill/>
            </a:ln>
            <a:effectLst/>
          </c:spPr>
          <c:invertIfNegative val="0"/>
          <c:cat>
            <c:strRef>
              <c:f>Category_Table!$A$5:$A$14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Category_Table!$D$5:$D$14</c:f>
              <c:numCache>
                <c:formatCode>General</c:formatCode>
                <c:ptCount val="9"/>
                <c:pt idx="1">
                  <c:v>6</c:v>
                </c:pt>
                <c:pt idx="4">
                  <c:v>20</c:v>
                </c:pt>
                <c:pt idx="8">
                  <c:v>24</c:v>
                </c:pt>
              </c:numCache>
            </c:numRef>
          </c:val>
          <c:extLst>
            <c:ext xmlns:c16="http://schemas.microsoft.com/office/drawing/2014/chart" uri="{C3380CC4-5D6E-409C-BE32-E72D297353CC}">
              <c16:uniqueId val="{00000002-8E22-024F-AB39-C4522DF2DEE8}"/>
            </c:ext>
          </c:extLst>
        </c:ser>
        <c:ser>
          <c:idx val="3"/>
          <c:order val="3"/>
          <c:tx>
            <c:strRef>
              <c:f>Category_Table!$E$3:$E$4</c:f>
              <c:strCache>
                <c:ptCount val="1"/>
                <c:pt idx="0">
                  <c:v>successful</c:v>
                </c:pt>
              </c:strCache>
            </c:strRef>
          </c:tx>
          <c:spPr>
            <a:solidFill>
              <a:srgbClr val="92D050"/>
            </a:solidFill>
            <a:ln>
              <a:noFill/>
            </a:ln>
            <a:effectLst/>
          </c:spPr>
          <c:invertIfNegative val="0"/>
          <c:cat>
            <c:strRef>
              <c:f>Category_Table!$A$5:$A$14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Category_Table!$E$5:$E$14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8E22-024F-AB39-C4522DF2DEE8}"/>
            </c:ext>
          </c:extLst>
        </c:ser>
        <c:dLbls>
          <c:showLegendKey val="0"/>
          <c:showVal val="0"/>
          <c:showCatName val="0"/>
          <c:showSerName val="0"/>
          <c:showPercent val="0"/>
          <c:showBubbleSize val="0"/>
        </c:dLbls>
        <c:gapWidth val="219"/>
        <c:overlap val="100"/>
        <c:axId val="276532656"/>
        <c:axId val="276532984"/>
      </c:barChart>
      <c:catAx>
        <c:axId val="276532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6532984"/>
        <c:crosses val="autoZero"/>
        <c:auto val="1"/>
        <c:lblAlgn val="ctr"/>
        <c:lblOffset val="100"/>
        <c:noMultiLvlLbl val="0"/>
      </c:catAx>
      <c:valAx>
        <c:axId val="276532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65326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[StarterBook_alexandria.xlsx]Category_vs_Date_Created!PivotTable12</c:name>
    <c:fmtId val="-1"/>
  </c:pivotSource>
  <c:chart>
    <c:autoTitleDeleted val="0"/>
    <c:pivotFmts>
      <c:pivotFmt>
        <c:idx val="0"/>
        <c:spPr>
          <a:solidFill>
            <a:schemeClr val="accent1"/>
          </a:solidFill>
          <a:ln w="28575" cap="rnd">
            <a:solidFill>
              <a:schemeClr val="accent4"/>
            </a:solidFill>
            <a:round/>
          </a:ln>
          <a:effectLst/>
        </c:spPr>
        <c:marker>
          <c:symbol val="none"/>
        </c:marker>
      </c:pivotFmt>
      <c:pivotFmt>
        <c:idx val="1"/>
        <c:spPr>
          <a:solidFill>
            <a:schemeClr val="accent1"/>
          </a:solidFill>
          <a:ln w="28575" cap="rnd">
            <a:solidFill>
              <a:srgbClr val="FC6060"/>
            </a:solidFill>
            <a:round/>
          </a:ln>
          <a:effectLst/>
        </c:spPr>
        <c:marker>
          <c:symbol val="none"/>
        </c:marker>
      </c:pivotFmt>
      <c:pivotFmt>
        <c:idx val="2"/>
        <c:spPr>
          <a:solidFill>
            <a:schemeClr val="accent1"/>
          </a:solidFill>
          <a:ln w="28575" cap="rnd">
            <a:solidFill>
              <a:srgbClr val="0D97FF"/>
            </a:solidFill>
            <a:round/>
          </a:ln>
          <a:effectLst/>
        </c:spPr>
        <c:marker>
          <c:symbol val="none"/>
        </c:marker>
      </c:pivotFmt>
      <c:pivotFmt>
        <c:idx val="3"/>
        <c:spPr>
          <a:solidFill>
            <a:schemeClr val="accent1"/>
          </a:solidFill>
          <a:ln w="28575" cap="rnd">
            <a:solidFill>
              <a:srgbClr val="95C674"/>
            </a:solidFill>
            <a:round/>
          </a:ln>
          <a:effectLst/>
        </c:spPr>
        <c:marker>
          <c:symbol val="none"/>
        </c:marker>
      </c:pivotFmt>
      <c:pivotFmt>
        <c:idx val="4"/>
        <c:spPr>
          <a:solidFill>
            <a:schemeClr val="accent1"/>
          </a:solidFill>
          <a:ln w="28575" cap="rnd">
            <a:solidFill>
              <a:schemeClr val="accent4"/>
            </a:solidFill>
            <a:round/>
          </a:ln>
          <a:effectLst/>
        </c:spPr>
        <c:marker>
          <c:symbol val="none"/>
        </c:marker>
      </c:pivotFmt>
      <c:pivotFmt>
        <c:idx val="5"/>
        <c:spPr>
          <a:solidFill>
            <a:schemeClr val="accent1"/>
          </a:solidFill>
          <a:ln w="28575" cap="rnd">
            <a:solidFill>
              <a:srgbClr val="FC6060"/>
            </a:solidFill>
            <a:round/>
          </a:ln>
          <a:effectLst/>
        </c:spPr>
        <c:marker>
          <c:symbol val="none"/>
        </c:marker>
      </c:pivotFmt>
      <c:pivotFmt>
        <c:idx val="6"/>
        <c:spPr>
          <a:solidFill>
            <a:schemeClr val="accent1"/>
          </a:solidFill>
          <a:ln w="28575" cap="rnd">
            <a:solidFill>
              <a:srgbClr val="0D97FF"/>
            </a:solidFill>
            <a:round/>
          </a:ln>
          <a:effectLst/>
        </c:spPr>
        <c:marker>
          <c:symbol val="none"/>
        </c:marker>
      </c:pivotFmt>
      <c:pivotFmt>
        <c:idx val="7"/>
        <c:spPr>
          <a:solidFill>
            <a:schemeClr val="accent1"/>
          </a:solidFill>
          <a:ln w="28575" cap="rnd">
            <a:solidFill>
              <a:srgbClr val="95C674"/>
            </a:solidFill>
            <a:round/>
          </a:ln>
          <a:effectLst/>
        </c:spPr>
        <c:marker>
          <c:symbol val="none"/>
        </c:marker>
      </c:pivotFmt>
      <c:pivotFmt>
        <c:idx val="8"/>
        <c:spPr>
          <a:solidFill>
            <a:schemeClr val="accent1"/>
          </a:solidFill>
          <a:ln w="28575" cap="rnd">
            <a:solidFill>
              <a:schemeClr val="accent4"/>
            </a:solidFill>
            <a:round/>
          </a:ln>
          <a:effectLst/>
        </c:spPr>
        <c:marker>
          <c:symbol val="none"/>
        </c:marker>
      </c:pivotFmt>
      <c:pivotFmt>
        <c:idx val="9"/>
        <c:spPr>
          <a:solidFill>
            <a:schemeClr val="accent1"/>
          </a:solidFill>
          <a:ln w="28575" cap="rnd">
            <a:solidFill>
              <a:srgbClr val="FC6060"/>
            </a:solidFill>
            <a:round/>
          </a:ln>
          <a:effectLst/>
        </c:spPr>
        <c:marker>
          <c:symbol val="none"/>
        </c:marker>
      </c:pivotFmt>
      <c:pivotFmt>
        <c:idx val="10"/>
        <c:spPr>
          <a:solidFill>
            <a:schemeClr val="accent1"/>
          </a:solidFill>
          <a:ln w="28575" cap="rnd">
            <a:solidFill>
              <a:srgbClr val="0D97FF"/>
            </a:solidFill>
            <a:round/>
          </a:ln>
          <a:effectLst/>
        </c:spPr>
        <c:marker>
          <c:symbol val="none"/>
        </c:marker>
      </c:pivotFmt>
      <c:pivotFmt>
        <c:idx val="11"/>
        <c:spPr>
          <a:solidFill>
            <a:schemeClr val="accent1"/>
          </a:solidFill>
          <a:ln w="28575" cap="rnd">
            <a:solidFill>
              <a:srgbClr val="95C674"/>
            </a:solidFill>
            <a:round/>
          </a:ln>
          <a:effectLst/>
        </c:spPr>
        <c:marker>
          <c:symbol val="none"/>
        </c:marker>
      </c:pivotFmt>
    </c:pivotFmts>
    <c:plotArea>
      <c:layout/>
      <c:lineChart>
        <c:grouping val="standard"/>
        <c:varyColors val="0"/>
        <c:ser>
          <c:idx val="0"/>
          <c:order val="0"/>
          <c:tx>
            <c:strRef>
              <c:f>Category_vs_Date_Created!$B$5:$B$6</c:f>
              <c:strCache>
                <c:ptCount val="1"/>
                <c:pt idx="0">
                  <c:v>canceled</c:v>
                </c:pt>
              </c:strCache>
            </c:strRef>
          </c:tx>
          <c:spPr>
            <a:ln w="28575" cap="rnd">
              <a:solidFill>
                <a:schemeClr val="accent4"/>
              </a:solidFill>
              <a:round/>
            </a:ln>
            <a:effectLst/>
          </c:spPr>
          <c:marker>
            <c:symbol val="none"/>
          </c:marker>
          <c:cat>
            <c:strRef>
              <c:f>Category_vs_Date_Created!$A$7:$A$19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Category_vs_Date_Created!$B$7:$B$19</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0-21ED-C84A-AD0B-3C2F17F30566}"/>
            </c:ext>
          </c:extLst>
        </c:ser>
        <c:ser>
          <c:idx val="1"/>
          <c:order val="1"/>
          <c:tx>
            <c:strRef>
              <c:f>Category_vs_Date_Created!$C$5:$C$6</c:f>
              <c:strCache>
                <c:ptCount val="1"/>
                <c:pt idx="0">
                  <c:v>failed</c:v>
                </c:pt>
              </c:strCache>
            </c:strRef>
          </c:tx>
          <c:spPr>
            <a:ln w="28575" cap="rnd">
              <a:solidFill>
                <a:srgbClr val="FC6060"/>
              </a:solidFill>
              <a:round/>
            </a:ln>
            <a:effectLst/>
          </c:spPr>
          <c:marker>
            <c:symbol val="none"/>
          </c:marker>
          <c:cat>
            <c:strRef>
              <c:f>Category_vs_Date_Created!$A$7:$A$19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Category_vs_Date_Created!$C$7:$C$19</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21ED-C84A-AD0B-3C2F17F30566}"/>
            </c:ext>
          </c:extLst>
        </c:ser>
        <c:ser>
          <c:idx val="2"/>
          <c:order val="2"/>
          <c:tx>
            <c:strRef>
              <c:f>Category_vs_Date_Created!$D$5:$D$6</c:f>
              <c:strCache>
                <c:ptCount val="1"/>
                <c:pt idx="0">
                  <c:v>live</c:v>
                </c:pt>
              </c:strCache>
            </c:strRef>
          </c:tx>
          <c:spPr>
            <a:ln w="28575" cap="rnd">
              <a:solidFill>
                <a:srgbClr val="0D97FF"/>
              </a:solidFill>
              <a:round/>
            </a:ln>
            <a:effectLst/>
          </c:spPr>
          <c:marker>
            <c:symbol val="none"/>
          </c:marker>
          <c:cat>
            <c:strRef>
              <c:f>Category_vs_Date_Created!$A$7:$A$19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Category_vs_Date_Created!$D$7:$D$19</c:f>
              <c:numCache>
                <c:formatCode>General</c:formatCode>
                <c:ptCount val="12"/>
                <c:pt idx="0">
                  <c:v>2</c:v>
                </c:pt>
                <c:pt idx="1">
                  <c:v>18</c:v>
                </c:pt>
                <c:pt idx="2">
                  <c:v>30</c:v>
                </c:pt>
              </c:numCache>
            </c:numRef>
          </c:val>
          <c:smooth val="0"/>
          <c:extLst>
            <c:ext xmlns:c16="http://schemas.microsoft.com/office/drawing/2014/chart" uri="{C3380CC4-5D6E-409C-BE32-E72D297353CC}">
              <c16:uniqueId val="{00000002-21ED-C84A-AD0B-3C2F17F30566}"/>
            </c:ext>
          </c:extLst>
        </c:ser>
        <c:ser>
          <c:idx val="3"/>
          <c:order val="3"/>
          <c:tx>
            <c:strRef>
              <c:f>Category_vs_Date_Created!$E$5:$E$6</c:f>
              <c:strCache>
                <c:ptCount val="1"/>
                <c:pt idx="0">
                  <c:v>successful</c:v>
                </c:pt>
              </c:strCache>
            </c:strRef>
          </c:tx>
          <c:spPr>
            <a:ln w="28575" cap="rnd">
              <a:solidFill>
                <a:srgbClr val="95C674"/>
              </a:solidFill>
              <a:round/>
            </a:ln>
            <a:effectLst/>
          </c:spPr>
          <c:marker>
            <c:symbol val="none"/>
          </c:marker>
          <c:cat>
            <c:strRef>
              <c:f>Category_vs_Date_Created!$A$7:$A$19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Category_vs_Date_Created!$E$7:$E$19</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3-21ED-C84A-AD0B-3C2F17F30566}"/>
            </c:ext>
          </c:extLst>
        </c:ser>
        <c:dLbls>
          <c:showLegendKey val="0"/>
          <c:showVal val="0"/>
          <c:showCatName val="0"/>
          <c:showSerName val="0"/>
          <c:showPercent val="0"/>
          <c:showBubbleSize val="0"/>
        </c:dLbls>
        <c:smooth val="0"/>
        <c:axId val="493813720"/>
        <c:axId val="510888872"/>
      </c:lineChart>
      <c:catAx>
        <c:axId val="493813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0888872"/>
        <c:crosses val="autoZero"/>
        <c:auto val="1"/>
        <c:lblAlgn val="ctr"/>
        <c:lblOffset val="100"/>
        <c:noMultiLvlLbl val="0"/>
      </c:catAx>
      <c:valAx>
        <c:axId val="510888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8137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Outcomes</a:t>
            </a:r>
            <a:r>
              <a:rPr lang="en-US" baseline="0"/>
              <a:t> Based on Goal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Bonus!$F$1</c:f>
              <c:strCache>
                <c:ptCount val="1"/>
                <c:pt idx="0">
                  <c:v>Percentage Successful</c:v>
                </c:pt>
              </c:strCache>
            </c:strRef>
          </c:tx>
          <c:spPr>
            <a:ln w="28575" cap="rnd">
              <a:solidFill>
                <a:srgbClr val="95C674"/>
              </a:solidFill>
              <a:round/>
            </a:ln>
            <a:effectLst/>
          </c:spPr>
          <c:marker>
            <c:symbol val="none"/>
          </c:marker>
          <c:cat>
            <c:strRef>
              <c:f>Bonus!$A$2:$A$13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Bonus!$F$2:$F$13</c:f>
              <c:numCache>
                <c:formatCode>0%</c:formatCode>
                <c:ptCount val="12"/>
                <c:pt idx="0">
                  <c:v>0.71081677704194257</c:v>
                </c:pt>
                <c:pt idx="1">
                  <c:v>0.66005665722379603</c:v>
                </c:pt>
                <c:pt idx="2">
                  <c:v>0.53212290502793291</c:v>
                </c:pt>
                <c:pt idx="3">
                  <c:v>0.47727272727272729</c:v>
                </c:pt>
                <c:pt idx="4">
                  <c:v>0.46766169154228854</c:v>
                </c:pt>
                <c:pt idx="5">
                  <c:v>0.41891891891891891</c:v>
                </c:pt>
                <c:pt idx="6">
                  <c:v>0.40145985401459855</c:v>
                </c:pt>
                <c:pt idx="7">
                  <c:v>0.3902439024390244</c:v>
                </c:pt>
                <c:pt idx="8">
                  <c:v>0.47272727272727272</c:v>
                </c:pt>
                <c:pt idx="9">
                  <c:v>0.48837209302325579</c:v>
                </c:pt>
                <c:pt idx="10">
                  <c:v>0.2857142857142857</c:v>
                </c:pt>
                <c:pt idx="11">
                  <c:v>0.19369369369369369</c:v>
                </c:pt>
              </c:numCache>
            </c:numRef>
          </c:val>
          <c:smooth val="0"/>
          <c:extLst>
            <c:ext xmlns:c16="http://schemas.microsoft.com/office/drawing/2014/chart" uri="{C3380CC4-5D6E-409C-BE32-E72D297353CC}">
              <c16:uniqueId val="{00000000-FB9C-5A4C-A298-C32B082585A7}"/>
            </c:ext>
          </c:extLst>
        </c:ser>
        <c:ser>
          <c:idx val="1"/>
          <c:order val="1"/>
          <c:tx>
            <c:strRef>
              <c:f>Bonus!$G$1</c:f>
              <c:strCache>
                <c:ptCount val="1"/>
                <c:pt idx="0">
                  <c:v>Percentage Failed</c:v>
                </c:pt>
              </c:strCache>
            </c:strRef>
          </c:tx>
          <c:spPr>
            <a:ln w="28575" cap="rnd">
              <a:solidFill>
                <a:srgbClr val="FC6060"/>
              </a:solidFill>
              <a:round/>
            </a:ln>
            <a:effectLst/>
          </c:spPr>
          <c:marker>
            <c:symbol val="none"/>
          </c:marker>
          <c:cat>
            <c:strRef>
              <c:f>Bonus!$A$2:$A$13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Bonus!$G$2:$G$13</c:f>
              <c:numCache>
                <c:formatCode>0%</c:formatCode>
                <c:ptCount val="12"/>
                <c:pt idx="0">
                  <c:v>0.24944812362030905</c:v>
                </c:pt>
                <c:pt idx="1">
                  <c:v>0.29745042492917845</c:v>
                </c:pt>
                <c:pt idx="2">
                  <c:v>0.39525139664804471</c:v>
                </c:pt>
                <c:pt idx="3">
                  <c:v>0.40909090909090912</c:v>
                </c:pt>
                <c:pt idx="4">
                  <c:v>0.44776119402985076</c:v>
                </c:pt>
                <c:pt idx="5">
                  <c:v>0.48648648648648651</c:v>
                </c:pt>
                <c:pt idx="6">
                  <c:v>0.46715328467153283</c:v>
                </c:pt>
                <c:pt idx="7">
                  <c:v>0.45121951219512196</c:v>
                </c:pt>
                <c:pt idx="8">
                  <c:v>0.4</c:v>
                </c:pt>
                <c:pt idx="9">
                  <c:v>0.37209302325581395</c:v>
                </c:pt>
                <c:pt idx="10">
                  <c:v>0.52380952380952384</c:v>
                </c:pt>
                <c:pt idx="11">
                  <c:v>0.58108108108108103</c:v>
                </c:pt>
              </c:numCache>
            </c:numRef>
          </c:val>
          <c:smooth val="0"/>
          <c:extLst>
            <c:ext xmlns:c16="http://schemas.microsoft.com/office/drawing/2014/chart" uri="{C3380CC4-5D6E-409C-BE32-E72D297353CC}">
              <c16:uniqueId val="{00000001-FB9C-5A4C-A298-C32B082585A7}"/>
            </c:ext>
          </c:extLst>
        </c:ser>
        <c:ser>
          <c:idx val="2"/>
          <c:order val="2"/>
          <c:tx>
            <c:strRef>
              <c:f>Bonus!$H$1</c:f>
              <c:strCache>
                <c:ptCount val="1"/>
                <c:pt idx="0">
                  <c:v>Percentage Canceled</c:v>
                </c:pt>
              </c:strCache>
            </c:strRef>
          </c:tx>
          <c:spPr>
            <a:ln w="28575" cap="rnd">
              <a:solidFill>
                <a:schemeClr val="accent4"/>
              </a:solidFill>
              <a:round/>
            </a:ln>
            <a:effectLst/>
          </c:spPr>
          <c:marker>
            <c:symbol val="none"/>
          </c:marker>
          <c:cat>
            <c:strRef>
              <c:f>Bonus!$A$2:$A$13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Bonus!$H$2:$H$13</c:f>
              <c:numCache>
                <c:formatCode>0%</c:formatCode>
                <c:ptCount val="12"/>
                <c:pt idx="0">
                  <c:v>3.9735099337748346E-2</c:v>
                </c:pt>
                <c:pt idx="1">
                  <c:v>4.2492917847025496E-2</c:v>
                </c:pt>
                <c:pt idx="2">
                  <c:v>7.2625698324022353E-2</c:v>
                </c:pt>
                <c:pt idx="3">
                  <c:v>0.11363636363636363</c:v>
                </c:pt>
                <c:pt idx="4">
                  <c:v>8.45771144278607E-2</c:v>
                </c:pt>
                <c:pt idx="5">
                  <c:v>9.45945945945946E-2</c:v>
                </c:pt>
                <c:pt idx="6">
                  <c:v>0.13138686131386862</c:v>
                </c:pt>
                <c:pt idx="7">
                  <c:v>0.15853658536585366</c:v>
                </c:pt>
                <c:pt idx="8">
                  <c:v>0.12727272727272726</c:v>
                </c:pt>
                <c:pt idx="9">
                  <c:v>0.13953488372093023</c:v>
                </c:pt>
                <c:pt idx="10">
                  <c:v>0.19047619047619047</c:v>
                </c:pt>
                <c:pt idx="11">
                  <c:v>0.22522522522522523</c:v>
                </c:pt>
              </c:numCache>
            </c:numRef>
          </c:val>
          <c:smooth val="0"/>
          <c:extLst>
            <c:ext xmlns:c16="http://schemas.microsoft.com/office/drawing/2014/chart" uri="{C3380CC4-5D6E-409C-BE32-E72D297353CC}">
              <c16:uniqueId val="{00000002-FB9C-5A4C-A298-C32B082585A7}"/>
            </c:ext>
          </c:extLst>
        </c:ser>
        <c:dLbls>
          <c:showLegendKey val="0"/>
          <c:showVal val="0"/>
          <c:showCatName val="0"/>
          <c:showSerName val="0"/>
          <c:showPercent val="0"/>
          <c:showBubbleSize val="0"/>
        </c:dLbls>
        <c:smooth val="0"/>
        <c:axId val="498619808"/>
        <c:axId val="498619480"/>
      </c:lineChart>
      <c:catAx>
        <c:axId val="498619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619480"/>
        <c:crosses val="autoZero"/>
        <c:auto val="1"/>
        <c:lblAlgn val="ctr"/>
        <c:lblOffset val="100"/>
        <c:noMultiLvlLbl val="0"/>
      </c:catAx>
      <c:valAx>
        <c:axId val="4986194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619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Alexandria Cabello Aponte</dc:creator>
  <cp:keywords/>
  <dc:description/>
  <cp:lastModifiedBy>Alexandria Cabello Aponte</cp:lastModifiedBy>
  <cp:revision>2</cp:revision>
  <dcterms:created xsi:type="dcterms:W3CDTF">2018-02-03T04:23:00Z</dcterms:created>
  <dcterms:modified xsi:type="dcterms:W3CDTF">2018-02-03T04:23:00Z</dcterms:modified>
</cp:coreProperties>
</file>