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F7CE" w14:textId="68B1F89A" w:rsidR="005C1423" w:rsidRDefault="005C1423" w:rsidP="002C736E">
      <w:pPr>
        <w:ind w:left="6372" w:firstLine="708"/>
        <w:rPr>
          <w:b/>
          <w:szCs w:val="24"/>
        </w:rPr>
      </w:pPr>
      <w:r w:rsidRPr="002C2B8C">
        <w:rPr>
          <w:b/>
          <w:szCs w:val="24"/>
        </w:rPr>
        <w:t xml:space="preserve">ANEXO </w:t>
      </w:r>
      <w:r w:rsidR="00D97AF1">
        <w:rPr>
          <w:b/>
          <w:szCs w:val="24"/>
        </w:rPr>
        <w:t>2_VERSION_0</w:t>
      </w:r>
      <w:r w:rsidR="002C736E">
        <w:rPr>
          <w:b/>
          <w:szCs w:val="24"/>
        </w:rPr>
        <w:t>5</w:t>
      </w:r>
    </w:p>
    <w:p w14:paraId="3D2B1B9A" w14:textId="48E0F36E" w:rsidR="00B618C4" w:rsidRPr="002C2B8C" w:rsidRDefault="00B618C4" w:rsidP="00205FC4">
      <w:pPr>
        <w:pStyle w:val="Titulo1SP"/>
        <w:numPr>
          <w:ilvl w:val="0"/>
          <w:numId w:val="0"/>
        </w:numPr>
        <w:ind w:left="360" w:hanging="360"/>
      </w:pPr>
      <w:bookmarkStart w:id="0" w:name="_Toc197613282"/>
      <w:r>
        <w:t>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3544"/>
        <w:gridCol w:w="6521"/>
      </w:tblGrid>
      <w:tr w:rsidR="00F8131A" w:rsidRPr="002C2B8C" w14:paraId="08C2346F" w14:textId="77777777" w:rsidTr="00F8131A">
        <w:trPr>
          <w:trHeight w:val="70"/>
          <w:tblHeader/>
        </w:trPr>
        <w:tc>
          <w:tcPr>
            <w:tcW w:w="3544" w:type="dxa"/>
            <w:vMerge w:val="restart"/>
            <w:tcBorders>
              <w:top w:val="single" w:sz="4" w:space="0" w:color="000000"/>
              <w:left w:val="single" w:sz="4" w:space="0" w:color="000000"/>
              <w:right w:val="single" w:sz="4" w:space="0" w:color="000000"/>
            </w:tcBorders>
            <w:shd w:val="clear" w:color="auto" w:fill="A6A6A6" w:themeFill="background1" w:themeFillShade="A6"/>
            <w:vAlign w:val="center"/>
          </w:tcPr>
          <w:p w14:paraId="3B44CDF1" w14:textId="77777777" w:rsidR="00F8131A" w:rsidRPr="002C2B8C" w:rsidRDefault="00F8131A">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6521"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1D65D16D" w:rsidR="00F8131A" w:rsidRPr="002C2B8C" w:rsidRDefault="00F8131A" w:rsidP="008177C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r>
      <w:tr w:rsidR="00F8131A" w:rsidRPr="00856AAE" w14:paraId="7F77CD70" w14:textId="77777777" w:rsidTr="00F8131A">
        <w:trPr>
          <w:trHeight w:val="400"/>
          <w:tblHeader/>
        </w:trPr>
        <w:tc>
          <w:tcPr>
            <w:tcW w:w="3544" w:type="dxa"/>
            <w:vMerge/>
            <w:tcBorders>
              <w:left w:val="single" w:sz="4" w:space="0" w:color="000000"/>
              <w:bottom w:val="single" w:sz="4" w:space="0" w:color="000000"/>
              <w:right w:val="single" w:sz="4" w:space="0" w:color="000000"/>
            </w:tcBorders>
            <w:shd w:val="clear" w:color="auto" w:fill="A6A6A6" w:themeFill="background1" w:themeFillShade="A6"/>
            <w:vAlign w:val="center"/>
          </w:tcPr>
          <w:p w14:paraId="5C89BC8E" w14:textId="77777777" w:rsidR="00F8131A" w:rsidRPr="002C2B8C" w:rsidRDefault="00F8131A">
            <w:pPr>
              <w:pStyle w:val="Sinespaciado"/>
              <w:widowControl w:val="0"/>
              <w:rPr>
                <w:rFonts w:ascii="Roboto Light" w:hAnsi="Roboto Light" w:cs="Open Sans"/>
                <w:b/>
                <w:sz w:val="24"/>
                <w:szCs w:val="24"/>
              </w:rPr>
            </w:pPr>
          </w:p>
        </w:tc>
        <w:tc>
          <w:tcPr>
            <w:tcW w:w="6521" w:type="dxa"/>
            <w:tcBorders>
              <w:top w:val="single" w:sz="4" w:space="0" w:color="000000"/>
              <w:left w:val="single" w:sz="4" w:space="0" w:color="000000"/>
              <w:bottom w:val="single" w:sz="4" w:space="0" w:color="000000"/>
              <w:right w:val="single" w:sz="4" w:space="0" w:color="000000"/>
            </w:tcBorders>
            <w:vAlign w:val="center"/>
          </w:tcPr>
          <w:p w14:paraId="282DC8A9" w14:textId="2C53C8E3" w:rsidR="00F8131A" w:rsidRPr="002C2B8C" w:rsidRDefault="00F8131A">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0B3E1C">
              <w:rPr>
                <w:rFonts w:ascii="Roboto Light" w:hAnsi="Roboto Light" w:cs="Open Sans"/>
                <w:b/>
                <w:color w:val="4D9084" w:themeColor="accent1"/>
                <w:sz w:val="24"/>
                <w:szCs w:val="24"/>
                <w:lang w:val="en-US"/>
              </w:rPr>
              <w:t>005</w:t>
            </w:r>
            <w:r w:rsidRPr="002C2B8C">
              <w:rPr>
                <w:rFonts w:ascii="Roboto Light" w:hAnsi="Roboto Light" w:cs="Open Sans"/>
                <w:b/>
                <w:color w:val="4D9084" w:themeColor="accent1"/>
                <w:sz w:val="24"/>
                <w:szCs w:val="24"/>
                <w:lang w:val="en-US"/>
              </w:rPr>
              <w:t>/</w:t>
            </w:r>
            <w:r w:rsidR="000B3E1C">
              <w:rPr>
                <w:rFonts w:ascii="Roboto Light" w:hAnsi="Roboto Light" w:cs="Open Sans"/>
                <w:b/>
                <w:color w:val="4D9084" w:themeColor="accent1"/>
                <w:sz w:val="24"/>
                <w:szCs w:val="24"/>
                <w:lang w:val="en-US"/>
              </w:rPr>
              <w:t>25</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866E24" w:rsidRPr="002C2B8C" w14:paraId="20C739C8" w14:textId="77777777" w:rsidTr="003921C3">
        <w:trPr>
          <w:trHeight w:val="670"/>
        </w:trPr>
        <w:tc>
          <w:tcPr>
            <w:tcW w:w="2694" w:type="dxa"/>
            <w:shd w:val="clear" w:color="auto" w:fill="9D9D9D" w:themeFill="accent4"/>
            <w:vAlign w:val="center"/>
          </w:tcPr>
          <w:p w14:paraId="5A814081" w14:textId="77777777" w:rsidR="00866E24" w:rsidRPr="00651490" w:rsidRDefault="00DB3C8E">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vAlign w:val="center"/>
          </w:tcPr>
          <w:p w14:paraId="2B94706D" w14:textId="219B628B" w:rsidR="00866E24" w:rsidRPr="000B3E1C" w:rsidRDefault="000B3E1C">
            <w:pPr>
              <w:widowControl w:val="0"/>
              <w:spacing w:after="0" w:line="240" w:lineRule="auto"/>
              <w:rPr>
                <w:color w:val="000000" w:themeColor="text1"/>
                <w:szCs w:val="24"/>
              </w:rPr>
            </w:pPr>
            <w:r w:rsidRPr="000B3E1C">
              <w:rPr>
                <w:color w:val="000000" w:themeColor="text1"/>
                <w:szCs w:val="24"/>
              </w:rPr>
              <w:t>Iván Pérez</w:t>
            </w:r>
          </w:p>
        </w:tc>
        <w:tc>
          <w:tcPr>
            <w:tcW w:w="2979" w:type="dxa"/>
            <w:gridSpan w:val="4"/>
            <w:shd w:val="clear" w:color="auto" w:fill="9D9D9D" w:themeFill="accent4"/>
            <w:vAlign w:val="center"/>
          </w:tcPr>
          <w:p w14:paraId="78A9DE16" w14:textId="77777777" w:rsidR="00866E24" w:rsidRPr="000B3E1C" w:rsidRDefault="00DB3C8E">
            <w:pPr>
              <w:pStyle w:val="Sinespaciado"/>
              <w:widowControl w:val="0"/>
              <w:rPr>
                <w:rFonts w:ascii="Roboto Light" w:hAnsi="Roboto Light" w:cs="Open Sans"/>
                <w:color w:val="000000" w:themeColor="text1"/>
                <w:sz w:val="24"/>
                <w:szCs w:val="24"/>
              </w:rPr>
            </w:pPr>
            <w:r w:rsidRPr="000B3E1C">
              <w:rPr>
                <w:rFonts w:ascii="Roboto Light" w:eastAsia="Calibri" w:hAnsi="Roboto Light" w:cs="Open Sans"/>
                <w:color w:val="000000" w:themeColor="text1"/>
                <w:sz w:val="24"/>
                <w:szCs w:val="24"/>
              </w:rPr>
              <w:t xml:space="preserve">Departamento </w:t>
            </w:r>
          </w:p>
        </w:tc>
        <w:tc>
          <w:tcPr>
            <w:tcW w:w="1843" w:type="dxa"/>
            <w:vAlign w:val="center"/>
          </w:tcPr>
          <w:p w14:paraId="27B9DFB0" w14:textId="6D163313" w:rsidR="00866E24" w:rsidRPr="000B3E1C" w:rsidRDefault="000B3E1C">
            <w:pPr>
              <w:widowControl w:val="0"/>
              <w:spacing w:after="0" w:line="240" w:lineRule="auto"/>
              <w:rPr>
                <w:color w:val="000000" w:themeColor="text1"/>
                <w:szCs w:val="24"/>
              </w:rPr>
            </w:pPr>
            <w:r w:rsidRPr="000B3E1C">
              <w:rPr>
                <w:color w:val="000000" w:themeColor="text1"/>
                <w:szCs w:val="24"/>
              </w:rPr>
              <w:t>Garantía de Calidad</w:t>
            </w:r>
          </w:p>
        </w:tc>
      </w:tr>
      <w:tr w:rsidR="00866E24" w:rsidRPr="002C2B8C" w14:paraId="0CB8E8FB" w14:textId="77777777" w:rsidTr="003921C3">
        <w:trPr>
          <w:trHeight w:val="707"/>
        </w:trPr>
        <w:tc>
          <w:tcPr>
            <w:tcW w:w="2694" w:type="dxa"/>
            <w:shd w:val="clear" w:color="auto" w:fill="9D9D9D" w:themeFill="accent4"/>
            <w:vAlign w:val="center"/>
          </w:tcPr>
          <w:p w14:paraId="16007524"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2B8A6DFB" w:rsidR="00866E24" w:rsidRPr="000B3E1C" w:rsidRDefault="000B3E1C">
            <w:pPr>
              <w:widowControl w:val="0"/>
              <w:spacing w:after="0" w:line="240" w:lineRule="auto"/>
              <w:rPr>
                <w:rFonts w:eastAsia="Calibri"/>
                <w:color w:val="000000" w:themeColor="text1"/>
                <w:szCs w:val="24"/>
              </w:rPr>
            </w:pPr>
            <w:r w:rsidRPr="000B3E1C">
              <w:rPr>
                <w:rFonts w:eastAsia="Calibri"/>
                <w:color w:val="000000" w:themeColor="text1"/>
                <w:szCs w:val="24"/>
              </w:rPr>
              <w:t>15/07/2025</w:t>
            </w:r>
          </w:p>
        </w:tc>
        <w:tc>
          <w:tcPr>
            <w:tcW w:w="995" w:type="dxa"/>
            <w:gridSpan w:val="2"/>
            <w:shd w:val="clear" w:color="auto" w:fill="9D9D9D" w:themeFill="accent4"/>
            <w:vAlign w:val="center"/>
          </w:tcPr>
          <w:p w14:paraId="09A55B61" w14:textId="77777777" w:rsidR="00866E24" w:rsidRPr="000B3E1C" w:rsidRDefault="00DB3C8E">
            <w:pPr>
              <w:pStyle w:val="Sinespaciado"/>
              <w:widowControl w:val="0"/>
              <w:rPr>
                <w:rFonts w:ascii="Roboto Light" w:hAnsi="Roboto Light" w:cs="Open Sans"/>
                <w:color w:val="000000" w:themeColor="text1"/>
                <w:sz w:val="24"/>
                <w:szCs w:val="24"/>
              </w:rPr>
            </w:pPr>
            <w:r w:rsidRPr="000B3E1C">
              <w:rPr>
                <w:rFonts w:ascii="Roboto Light" w:eastAsia="Calibri" w:hAnsi="Roboto Light" w:cs="Open Sans"/>
                <w:color w:val="000000" w:themeColor="text1"/>
                <w:sz w:val="24"/>
                <w:szCs w:val="24"/>
              </w:rPr>
              <w:t>Origen</w:t>
            </w:r>
          </w:p>
        </w:tc>
        <w:tc>
          <w:tcPr>
            <w:tcW w:w="3827" w:type="dxa"/>
            <w:gridSpan w:val="3"/>
            <w:vAlign w:val="center"/>
          </w:tcPr>
          <w:p w14:paraId="27AF5768" w14:textId="161AB055" w:rsidR="00866E24" w:rsidRPr="000B3E1C" w:rsidRDefault="000B3E1C" w:rsidP="15E45E34">
            <w:pPr>
              <w:widowControl w:val="0"/>
              <w:spacing w:after="0" w:line="240" w:lineRule="auto"/>
              <w:rPr>
                <w:color w:val="000000" w:themeColor="text1"/>
              </w:rPr>
            </w:pPr>
            <w:r w:rsidRPr="000B3E1C">
              <w:rPr>
                <w:color w:val="000000" w:themeColor="text1"/>
              </w:rPr>
              <w:t>Organismo Notificado</w:t>
            </w: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sidR="00F853BD">
              <w:rPr>
                <w:rFonts w:ascii="Roboto Light" w:eastAsia="Calibri" w:hAnsi="Roboto Light" w:cs="Open Sans"/>
                <w:sz w:val="24"/>
                <w:szCs w:val="24"/>
              </w:rPr>
              <w:t xml:space="preserve">l </w:t>
            </w:r>
            <w:r w:rsidR="005D11E7">
              <w:rPr>
                <w:rFonts w:ascii="Roboto Light" w:eastAsia="Calibri" w:hAnsi="Roboto Light" w:cs="Open Sans"/>
                <w:sz w:val="24"/>
                <w:szCs w:val="24"/>
              </w:rPr>
              <w:t>hallazgo</w:t>
            </w:r>
          </w:p>
        </w:tc>
        <w:tc>
          <w:tcPr>
            <w:tcW w:w="7371" w:type="dxa"/>
            <w:gridSpan w:val="12"/>
            <w:vAlign w:val="center"/>
          </w:tcPr>
          <w:p w14:paraId="0E168DCF" w14:textId="0FE8795F" w:rsidR="004D444E" w:rsidRPr="002C2B8C" w:rsidRDefault="000B3E1C">
            <w:pPr>
              <w:widowControl w:val="0"/>
              <w:spacing w:after="0" w:line="240" w:lineRule="auto"/>
              <w:rPr>
                <w:rFonts w:eastAsia="Calibri"/>
                <w:szCs w:val="24"/>
              </w:rPr>
            </w:pPr>
            <w:r w:rsidRPr="000B3E1C">
              <w:rPr>
                <w:rFonts w:eastAsia="Calibri"/>
                <w:szCs w:val="24"/>
              </w:rPr>
              <w:t>El SOP PNT-030 para la estrategia de cumplimiento normativo no describe claramente la identificación de los requisitos legales pertinentes, la identificación de las fuentes ni las responsabilidades de las tareas. Además, no se aborda el seguimiento de las normas CS y/o armonizadas.</w:t>
            </w: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17B92">
            <w:pPr>
              <w:pStyle w:val="Sinespaciado"/>
              <w:widowControl w:val="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014A530A" w14:textId="77777777" w:rsidR="000B3E1C" w:rsidRPr="000B3E1C" w:rsidRDefault="000B3E1C" w:rsidP="000B3E1C">
            <w:pPr>
              <w:widowControl w:val="0"/>
              <w:spacing w:after="0" w:line="240" w:lineRule="auto"/>
              <w:rPr>
                <w:rFonts w:eastAsia="Calibri"/>
                <w:szCs w:val="24"/>
              </w:rPr>
            </w:pPr>
            <w:r w:rsidRPr="000B3E1C">
              <w:rPr>
                <w:rFonts w:eastAsia="Calibri"/>
                <w:szCs w:val="24"/>
              </w:rPr>
              <w:t>El procedimiento PNT-030 no aborda de forma explícita y estructurada los mecanismos para:</w:t>
            </w:r>
          </w:p>
          <w:p w14:paraId="1B60661A" w14:textId="77777777" w:rsidR="000B3E1C" w:rsidRPr="000B3E1C" w:rsidRDefault="000B3E1C" w:rsidP="000B3E1C">
            <w:pPr>
              <w:widowControl w:val="0"/>
              <w:spacing w:after="0" w:line="240" w:lineRule="auto"/>
              <w:rPr>
                <w:rFonts w:eastAsia="Calibri"/>
                <w:szCs w:val="24"/>
              </w:rPr>
            </w:pPr>
            <w:r w:rsidRPr="000B3E1C">
              <w:rPr>
                <w:rFonts w:eastAsia="Calibri"/>
                <w:szCs w:val="24"/>
              </w:rPr>
              <w:t>- Identificar los requisitos legales aplicables (MDR, legislación nacional, etc.).</w:t>
            </w:r>
          </w:p>
          <w:p w14:paraId="5C39A127" w14:textId="77777777" w:rsidR="000B3E1C" w:rsidRPr="000B3E1C" w:rsidRDefault="000B3E1C" w:rsidP="000B3E1C">
            <w:pPr>
              <w:widowControl w:val="0"/>
              <w:spacing w:after="0" w:line="240" w:lineRule="auto"/>
              <w:rPr>
                <w:rFonts w:eastAsia="Calibri"/>
                <w:szCs w:val="24"/>
              </w:rPr>
            </w:pPr>
            <w:r w:rsidRPr="000B3E1C">
              <w:rPr>
                <w:rFonts w:eastAsia="Calibri"/>
                <w:szCs w:val="24"/>
              </w:rPr>
              <w:t>- Determinar las fuentes oficiales de información (Diario Oficial de la UE, sitio web de la Comisión Europea, organismos notificados, asociaciones industriales).</w:t>
            </w:r>
          </w:p>
          <w:p w14:paraId="29E832DE" w14:textId="77777777" w:rsidR="000B3E1C" w:rsidRPr="000B3E1C" w:rsidRDefault="000B3E1C" w:rsidP="000B3E1C">
            <w:pPr>
              <w:widowControl w:val="0"/>
              <w:spacing w:after="0" w:line="240" w:lineRule="auto"/>
              <w:rPr>
                <w:rFonts w:eastAsia="Calibri"/>
                <w:szCs w:val="24"/>
              </w:rPr>
            </w:pPr>
            <w:r w:rsidRPr="000B3E1C">
              <w:rPr>
                <w:rFonts w:eastAsia="Calibri"/>
                <w:szCs w:val="24"/>
              </w:rPr>
              <w:t>- Asignar responsabilidades claras para el seguimiento de estos requisitos.</w:t>
            </w:r>
          </w:p>
          <w:p w14:paraId="4BF43AC6" w14:textId="77777777" w:rsidR="000B3E1C" w:rsidRPr="000B3E1C" w:rsidRDefault="000B3E1C" w:rsidP="000B3E1C">
            <w:pPr>
              <w:widowControl w:val="0"/>
              <w:spacing w:after="0" w:line="240" w:lineRule="auto"/>
              <w:rPr>
                <w:rFonts w:eastAsia="Calibri"/>
                <w:szCs w:val="24"/>
              </w:rPr>
            </w:pPr>
            <w:r w:rsidRPr="000B3E1C">
              <w:rPr>
                <w:rFonts w:eastAsia="Calibri"/>
                <w:szCs w:val="24"/>
              </w:rPr>
              <w:t>- Supervisar los cambios en las especificaciones comunes (CS) o en las normas armonizadas pertinentes.</w:t>
            </w:r>
          </w:p>
          <w:p w14:paraId="41508C0C" w14:textId="04130E08" w:rsidR="004D444E" w:rsidRPr="002C2B8C" w:rsidRDefault="000B3E1C" w:rsidP="00417B92">
            <w:pPr>
              <w:widowControl w:val="0"/>
              <w:spacing w:after="0" w:line="240" w:lineRule="auto"/>
              <w:rPr>
                <w:rFonts w:eastAsia="Calibri"/>
                <w:szCs w:val="24"/>
              </w:rPr>
            </w:pPr>
            <w:r w:rsidRPr="000B3E1C">
              <w:rPr>
                <w:rFonts w:eastAsia="Calibri"/>
                <w:szCs w:val="24"/>
              </w:rPr>
              <w:t>- Esta omisión se debe a que el procedimiento se redactó inicialmente en una fase temprana del desarrollo del sistema y no se revisó tras la entrada en vigor completa del MDR.</w:t>
            </w: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Corrección inmediata</w:t>
            </w:r>
          </w:p>
        </w:tc>
        <w:tc>
          <w:tcPr>
            <w:tcW w:w="7371" w:type="dxa"/>
            <w:gridSpan w:val="12"/>
            <w:vAlign w:val="center"/>
          </w:tcPr>
          <w:p w14:paraId="422E6AC3" w14:textId="5A4666D4" w:rsidR="00417B92" w:rsidRPr="002C2B8C" w:rsidRDefault="000B3E1C" w:rsidP="00417B92">
            <w:pPr>
              <w:widowControl w:val="0"/>
              <w:spacing w:after="0" w:line="240" w:lineRule="auto"/>
              <w:rPr>
                <w:rFonts w:eastAsia="Calibri"/>
                <w:szCs w:val="24"/>
              </w:rPr>
            </w:pPr>
            <w:r w:rsidRPr="000B3E1C">
              <w:rPr>
                <w:rFonts w:eastAsia="Calibri"/>
                <w:szCs w:val="24"/>
              </w:rPr>
              <w:t>Registrar la no conformidad en el sistema de calidad y proporcionar la trazabilidad del seguimiento.</w:t>
            </w: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42EB44E3" w14:textId="77777777" w:rsidR="000B3E1C" w:rsidRPr="000B3E1C" w:rsidRDefault="000B3E1C" w:rsidP="000B3E1C">
            <w:pPr>
              <w:widowControl w:val="0"/>
              <w:spacing w:after="0" w:line="240" w:lineRule="auto"/>
              <w:rPr>
                <w:rFonts w:eastAsia="Calibri"/>
                <w:szCs w:val="24"/>
              </w:rPr>
            </w:pPr>
            <w:r w:rsidRPr="000B3E1C">
              <w:rPr>
                <w:rFonts w:eastAsia="Calibri"/>
                <w:szCs w:val="24"/>
              </w:rPr>
              <w:t>Revisión del procedimiento PNT-030, incluyendo:</w:t>
            </w:r>
          </w:p>
          <w:p w14:paraId="56BE9BF8" w14:textId="77777777" w:rsidR="000B3E1C" w:rsidRPr="000B3E1C" w:rsidRDefault="000B3E1C" w:rsidP="000B3E1C">
            <w:pPr>
              <w:widowControl w:val="0"/>
              <w:spacing w:after="0" w:line="240" w:lineRule="auto"/>
              <w:rPr>
                <w:rFonts w:eastAsia="Calibri"/>
                <w:szCs w:val="24"/>
              </w:rPr>
            </w:pPr>
            <w:r w:rsidRPr="000B3E1C">
              <w:rPr>
                <w:rFonts w:eastAsia="Calibri"/>
                <w:szCs w:val="24"/>
              </w:rPr>
              <w:t xml:space="preserve">- Sección específica para la identificación de los requisitos legales y reglamentarios aplicables, incluyendo el MDR, las directivas </w:t>
            </w:r>
            <w:r w:rsidRPr="000B3E1C">
              <w:rPr>
                <w:rFonts w:eastAsia="Calibri"/>
                <w:szCs w:val="24"/>
              </w:rPr>
              <w:lastRenderedPageBreak/>
              <w:t>aplicables, la legislación nacional y las directrices del MDCG.</w:t>
            </w:r>
          </w:p>
          <w:p w14:paraId="69725B53" w14:textId="77777777" w:rsidR="000B3E1C" w:rsidRPr="000B3E1C" w:rsidRDefault="000B3E1C" w:rsidP="000B3E1C">
            <w:pPr>
              <w:widowControl w:val="0"/>
              <w:spacing w:after="0" w:line="240" w:lineRule="auto"/>
              <w:rPr>
                <w:rFonts w:eastAsia="Calibri"/>
                <w:szCs w:val="24"/>
              </w:rPr>
            </w:pPr>
            <w:r w:rsidRPr="000B3E1C">
              <w:rPr>
                <w:rFonts w:eastAsia="Calibri"/>
                <w:szCs w:val="24"/>
              </w:rPr>
              <w:t>- Inclusión de una lista de fuentes oficiales de información actualizada (sitios web, boletines, bases de datos de normas, etc.).</w:t>
            </w:r>
          </w:p>
          <w:p w14:paraId="63265E02" w14:textId="77777777" w:rsidR="000B3E1C" w:rsidRPr="000B3E1C" w:rsidRDefault="000B3E1C" w:rsidP="000B3E1C">
            <w:pPr>
              <w:widowControl w:val="0"/>
              <w:spacing w:after="0" w:line="240" w:lineRule="auto"/>
              <w:rPr>
                <w:rFonts w:eastAsia="Calibri"/>
                <w:szCs w:val="24"/>
              </w:rPr>
            </w:pPr>
            <w:r w:rsidRPr="000B3E1C">
              <w:rPr>
                <w:rFonts w:eastAsia="Calibri"/>
                <w:szCs w:val="24"/>
              </w:rPr>
              <w:t>- Asignación clara de las partes responsables de supervisar, revisar y actualizar estos requisitos.</w:t>
            </w:r>
          </w:p>
          <w:p w14:paraId="51F17148" w14:textId="77777777" w:rsidR="000B3E1C" w:rsidRPr="000B3E1C" w:rsidRDefault="000B3E1C" w:rsidP="000B3E1C">
            <w:pPr>
              <w:widowControl w:val="0"/>
              <w:spacing w:after="0" w:line="240" w:lineRule="auto"/>
              <w:rPr>
                <w:rFonts w:eastAsia="Calibri"/>
                <w:szCs w:val="24"/>
              </w:rPr>
            </w:pPr>
            <w:r w:rsidRPr="000B3E1C">
              <w:rPr>
                <w:rFonts w:eastAsia="Calibri"/>
                <w:szCs w:val="24"/>
              </w:rPr>
              <w:t>- Descripción del proceso de supervisión de las normas armonizadas y las especificaciones comunes (CS), incluyendo la frecuencia, las herramientas de supervisión (por ejemplo, notificaciones del CEN, DOUE) y los criterios para evaluar su aplicabilidad.</w:t>
            </w:r>
          </w:p>
          <w:p w14:paraId="5FF9FFCB" w14:textId="59C66625" w:rsidR="00417B92" w:rsidRPr="002C2B8C" w:rsidRDefault="000B3E1C" w:rsidP="00417B92">
            <w:pPr>
              <w:widowControl w:val="0"/>
              <w:spacing w:after="0" w:line="240" w:lineRule="auto"/>
              <w:rPr>
                <w:rFonts w:eastAsia="Calibri"/>
                <w:szCs w:val="24"/>
              </w:rPr>
            </w:pPr>
            <w:r w:rsidRPr="000B3E1C">
              <w:rPr>
                <w:rFonts w:eastAsia="Calibri"/>
                <w:szCs w:val="24"/>
              </w:rPr>
              <w:t>- Integración con el procedimiento de evaluación de riesgos y gestión de cambios para garantizar que el sistema se actualice cuando cambien los requisitos.</w:t>
            </w:r>
          </w:p>
        </w:tc>
      </w:tr>
      <w:tr w:rsidR="0097795A" w:rsidRPr="002C2B8C" w14:paraId="3D3FC13C" w14:textId="77777777" w:rsidTr="003B5B9D">
        <w:trPr>
          <w:trHeight w:val="320"/>
        </w:trPr>
        <w:tc>
          <w:tcPr>
            <w:tcW w:w="2694" w:type="dxa"/>
            <w:vMerge w:val="restart"/>
            <w:shd w:val="clear" w:color="auto" w:fill="9D9D9D" w:themeFill="accent4"/>
            <w:vAlign w:val="center"/>
          </w:tcPr>
          <w:p w14:paraId="1F1D508C" w14:textId="73E24F95" w:rsidR="0097795A" w:rsidRPr="0097795A" w:rsidRDefault="0097795A" w:rsidP="0097795A">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lastRenderedPageBreak/>
              <w:t>Verificación del impacto de la acción en el producto</w:t>
            </w:r>
          </w:p>
        </w:tc>
        <w:tc>
          <w:tcPr>
            <w:tcW w:w="2457" w:type="dxa"/>
            <w:gridSpan w:val="6"/>
            <w:vAlign w:val="center"/>
          </w:tcPr>
          <w:p w14:paraId="279802CC" w14:textId="77777777" w:rsidR="0097795A" w:rsidRDefault="0097795A" w:rsidP="0097795A">
            <w:pPr>
              <w:widowControl w:val="0"/>
              <w:spacing w:after="0" w:line="240" w:lineRule="auto"/>
              <w:rPr>
                <w:rFonts w:eastAsia="Calibri"/>
                <w:szCs w:val="24"/>
              </w:rPr>
            </w:pPr>
          </w:p>
        </w:tc>
        <w:tc>
          <w:tcPr>
            <w:tcW w:w="2457" w:type="dxa"/>
            <w:gridSpan w:val="4"/>
            <w:vAlign w:val="center"/>
          </w:tcPr>
          <w:p w14:paraId="0DB00429" w14:textId="4C13ED12" w:rsidR="0097795A" w:rsidRDefault="0097795A" w:rsidP="0097795A">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42A7DFC1" w14:textId="337A96FE" w:rsidR="0097795A" w:rsidRDefault="0097795A" w:rsidP="0097795A">
            <w:pPr>
              <w:widowControl w:val="0"/>
              <w:spacing w:after="0" w:line="240" w:lineRule="auto"/>
              <w:rPr>
                <w:rFonts w:eastAsia="Calibri"/>
                <w:szCs w:val="24"/>
              </w:rPr>
            </w:pPr>
            <w:r w:rsidRPr="00D97AF1">
              <w:rPr>
                <w:rFonts w:eastAsia="Calibri"/>
                <w:sz w:val="20"/>
                <w:szCs w:val="24"/>
              </w:rPr>
              <w:t>No</w:t>
            </w:r>
          </w:p>
        </w:tc>
      </w:tr>
      <w:tr w:rsidR="0097795A" w:rsidRPr="002C2B8C" w14:paraId="51AF4388" w14:textId="77777777" w:rsidTr="003B5B9D">
        <w:trPr>
          <w:trHeight w:val="320"/>
        </w:trPr>
        <w:tc>
          <w:tcPr>
            <w:tcW w:w="2694" w:type="dxa"/>
            <w:vMerge/>
            <w:shd w:val="clear" w:color="auto" w:fill="9D9D9D" w:themeFill="accent4"/>
            <w:vAlign w:val="center"/>
          </w:tcPr>
          <w:p w14:paraId="1AD2837C"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2D7A597B" w14:textId="00FF64BF" w:rsidR="0097795A" w:rsidRDefault="0097795A" w:rsidP="0097795A">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1"/>
                <w14:checkedState w14:val="2612" w14:font="MS Gothic"/>
                <w14:uncheckedState w14:val="2610" w14:font="MS Gothic"/>
              </w14:checkbox>
            </w:sdtPr>
            <w:sdtContent>
              <w:p w14:paraId="60C89806" w14:textId="3E9E62E3" w:rsidR="0097795A" w:rsidRDefault="000B3E1C" w:rsidP="0097795A">
                <w:pPr>
                  <w:widowControl w:val="0"/>
                  <w:spacing w:after="0"/>
                  <w:jc w:val="center"/>
                  <w:rPr>
                    <w:szCs w:val="22"/>
                    <w:lang w:val="es-ES" w:eastAsia="en-US"/>
                  </w:rPr>
                </w:pPr>
                <w:r>
                  <w:rPr>
                    <w:rFonts w:ascii="MS Gothic" w:eastAsia="MS Gothic" w:hAnsi="MS Gothic" w:hint="eastAsia"/>
                  </w:rPr>
                  <w:t>☒</w:t>
                </w:r>
              </w:p>
            </w:sdtContent>
          </w:sdt>
          <w:p w14:paraId="49C787B8"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834349176"/>
              <w14:checkbox>
                <w14:checked w14:val="0"/>
                <w14:checkedState w14:val="2612" w14:font="MS Gothic"/>
                <w14:uncheckedState w14:val="2610" w14:font="MS Gothic"/>
              </w14:checkbox>
            </w:sdtPr>
            <w:sdtContent>
              <w:p w14:paraId="0A7D1791" w14:textId="08351EB8"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190AE2E6" w14:textId="054E720F" w:rsidR="0097795A" w:rsidRDefault="0097795A" w:rsidP="0097795A">
            <w:pPr>
              <w:widowControl w:val="0"/>
              <w:spacing w:after="0" w:line="240" w:lineRule="auto"/>
              <w:rPr>
                <w:rFonts w:eastAsia="Calibri"/>
                <w:szCs w:val="24"/>
              </w:rPr>
            </w:pPr>
          </w:p>
        </w:tc>
      </w:tr>
      <w:tr w:rsidR="0097795A" w:rsidRPr="002C2B8C" w14:paraId="602990B3" w14:textId="77777777" w:rsidTr="003B5B9D">
        <w:trPr>
          <w:trHeight w:val="320"/>
        </w:trPr>
        <w:tc>
          <w:tcPr>
            <w:tcW w:w="2694" w:type="dxa"/>
            <w:vMerge/>
            <w:shd w:val="clear" w:color="auto" w:fill="9D9D9D" w:themeFill="accent4"/>
            <w:vAlign w:val="center"/>
          </w:tcPr>
          <w:p w14:paraId="4BBE982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3B67744D" w14:textId="7BFDDE81" w:rsidR="0097795A" w:rsidRDefault="0097795A" w:rsidP="0097795A">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554DE9FB" w14:textId="77777777"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0AE58797"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930095876"/>
              <w14:checkbox>
                <w14:checked w14:val="1"/>
                <w14:checkedState w14:val="2612" w14:font="MS Gothic"/>
                <w14:uncheckedState w14:val="2610" w14:font="MS Gothic"/>
              </w14:checkbox>
            </w:sdtPr>
            <w:sdtContent>
              <w:p w14:paraId="29162A69" w14:textId="23A61E17" w:rsidR="0097795A" w:rsidRDefault="000B3E1C" w:rsidP="0097795A">
                <w:pPr>
                  <w:widowControl w:val="0"/>
                  <w:spacing w:after="0"/>
                  <w:jc w:val="center"/>
                  <w:rPr>
                    <w:szCs w:val="22"/>
                    <w:lang w:val="es-ES" w:eastAsia="en-US"/>
                  </w:rPr>
                </w:pPr>
                <w:r>
                  <w:rPr>
                    <w:rFonts w:ascii="MS Gothic" w:eastAsia="MS Gothic" w:hAnsi="MS Gothic" w:hint="eastAsia"/>
                  </w:rPr>
                  <w:t>☒</w:t>
                </w:r>
              </w:p>
            </w:sdtContent>
          </w:sdt>
          <w:p w14:paraId="69E06257" w14:textId="412173E2" w:rsidR="0097795A" w:rsidRDefault="0097795A" w:rsidP="0097795A">
            <w:pPr>
              <w:widowControl w:val="0"/>
              <w:spacing w:after="0" w:line="240" w:lineRule="auto"/>
              <w:rPr>
                <w:rFonts w:eastAsia="Calibri"/>
                <w:szCs w:val="24"/>
              </w:rPr>
            </w:pPr>
          </w:p>
        </w:tc>
      </w:tr>
      <w:tr w:rsidR="0097795A" w:rsidRPr="002C2B8C" w14:paraId="2D9042F0" w14:textId="77777777" w:rsidTr="005465E2">
        <w:trPr>
          <w:trHeight w:val="320"/>
        </w:trPr>
        <w:tc>
          <w:tcPr>
            <w:tcW w:w="2694" w:type="dxa"/>
            <w:vMerge/>
            <w:shd w:val="clear" w:color="auto" w:fill="9D9D9D" w:themeFill="accent4"/>
            <w:vAlign w:val="center"/>
          </w:tcPr>
          <w:p w14:paraId="35A10ED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082AC451" w14:textId="5265CB05" w:rsidR="0097795A" w:rsidRDefault="0097795A" w:rsidP="0097795A">
            <w:pPr>
              <w:widowControl w:val="0"/>
              <w:spacing w:after="0" w:line="240" w:lineRule="auto"/>
              <w:rPr>
                <w:rFonts w:eastAsia="Calibri"/>
                <w:szCs w:val="24"/>
              </w:rPr>
            </w:pPr>
            <w:r>
              <w:rPr>
                <w:rFonts w:eastAsia="Calibri"/>
                <w:szCs w:val="24"/>
              </w:rPr>
              <w:t>Evaluacion de impacto:</w:t>
            </w:r>
          </w:p>
        </w:tc>
        <w:tc>
          <w:tcPr>
            <w:tcW w:w="4914" w:type="dxa"/>
            <w:gridSpan w:val="6"/>
            <w:vAlign w:val="center"/>
          </w:tcPr>
          <w:p w14:paraId="7EC38347" w14:textId="0F4C6A12" w:rsidR="0097795A" w:rsidRDefault="000B3E1C" w:rsidP="0097795A">
            <w:pPr>
              <w:widowControl w:val="0"/>
              <w:spacing w:after="0" w:line="240" w:lineRule="auto"/>
              <w:rPr>
                <w:rFonts w:eastAsia="Calibri"/>
                <w:szCs w:val="24"/>
              </w:rPr>
            </w:pPr>
            <w:r w:rsidRPr="000B3E1C">
              <w:rPr>
                <w:rFonts w:eastAsia="Calibri"/>
                <w:szCs w:val="24"/>
              </w:rPr>
              <w:t>La no conformidad no tiene un impacto directo en el producto ni en la seguridad del mismo, pero sí compromete la capacidad del sistema para adaptarse a los cambios normativos con garantías. Las medidas correctivas establecerán un sólido sistema de vigilancia normativa para garantizar el cumplimiento continuo del MDR y otras normativas aplicables.</w:t>
            </w: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Responsable de la acción</w:t>
            </w:r>
          </w:p>
        </w:tc>
        <w:tc>
          <w:tcPr>
            <w:tcW w:w="2835" w:type="dxa"/>
            <w:gridSpan w:val="8"/>
            <w:vAlign w:val="center"/>
          </w:tcPr>
          <w:p w14:paraId="242E3537" w14:textId="1F60A023" w:rsidR="00417B92" w:rsidRPr="000B3E1C" w:rsidRDefault="000B3E1C" w:rsidP="00417B92">
            <w:pPr>
              <w:widowControl w:val="0"/>
              <w:spacing w:after="0" w:line="240" w:lineRule="auto"/>
              <w:rPr>
                <w:color w:val="000000" w:themeColor="text1"/>
                <w:szCs w:val="24"/>
              </w:rPr>
            </w:pPr>
            <w:r w:rsidRPr="000B3E1C">
              <w:rPr>
                <w:color w:val="000000" w:themeColor="text1"/>
                <w:szCs w:val="24"/>
              </w:rPr>
              <w:t>Iván Pérez</w:t>
            </w:r>
          </w:p>
        </w:tc>
        <w:tc>
          <w:tcPr>
            <w:tcW w:w="2693" w:type="dxa"/>
            <w:gridSpan w:val="3"/>
            <w:shd w:val="clear" w:color="auto" w:fill="9D9D9D" w:themeFill="accent4"/>
            <w:vAlign w:val="center"/>
          </w:tcPr>
          <w:p w14:paraId="1BBC3C6D" w14:textId="77777777" w:rsidR="00417B92" w:rsidRPr="000B3E1C" w:rsidRDefault="00417B92" w:rsidP="00417B92">
            <w:pPr>
              <w:widowControl w:val="0"/>
              <w:spacing w:after="0" w:line="240" w:lineRule="auto"/>
              <w:rPr>
                <w:rFonts w:eastAsia="Calibri"/>
                <w:color w:val="000000" w:themeColor="text1"/>
                <w:szCs w:val="24"/>
              </w:rPr>
            </w:pPr>
            <w:r w:rsidRPr="000B3E1C">
              <w:rPr>
                <w:rFonts w:eastAsia="Calibri"/>
                <w:color w:val="000000" w:themeColor="text1"/>
                <w:szCs w:val="24"/>
              </w:rPr>
              <w:t>Departamento</w:t>
            </w:r>
          </w:p>
        </w:tc>
        <w:tc>
          <w:tcPr>
            <w:tcW w:w="1843" w:type="dxa"/>
            <w:vAlign w:val="center"/>
          </w:tcPr>
          <w:p w14:paraId="1F66D2FA" w14:textId="613708C2" w:rsidR="00417B92" w:rsidRPr="000B3E1C" w:rsidRDefault="000B3E1C" w:rsidP="00417B92">
            <w:pPr>
              <w:widowControl w:val="0"/>
              <w:spacing w:after="0" w:line="240" w:lineRule="auto"/>
              <w:rPr>
                <w:color w:val="000000" w:themeColor="text1"/>
                <w:szCs w:val="24"/>
              </w:rPr>
            </w:pPr>
            <w:r w:rsidRPr="000B3E1C">
              <w:rPr>
                <w:color w:val="000000" w:themeColor="text1"/>
                <w:szCs w:val="24"/>
              </w:rPr>
              <w:t>Garantía de Calidad</w:t>
            </w: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3C1EB1F3" w:rsidR="00417B92" w:rsidRPr="000B3E1C" w:rsidRDefault="00AE63BB" w:rsidP="00417B92">
            <w:pPr>
              <w:widowControl w:val="0"/>
              <w:spacing w:after="0" w:line="240" w:lineRule="auto"/>
              <w:rPr>
                <w:color w:val="000000" w:themeColor="text1"/>
              </w:rPr>
            </w:pPr>
            <w:r>
              <w:rPr>
                <w:color w:val="000000" w:themeColor="text1"/>
              </w:rPr>
              <w:t>01</w:t>
            </w:r>
            <w:r w:rsidR="000B3E1C" w:rsidRPr="000B3E1C">
              <w:rPr>
                <w:color w:val="000000" w:themeColor="text1"/>
              </w:rPr>
              <w:t>/1</w:t>
            </w:r>
            <w:r>
              <w:rPr>
                <w:color w:val="000000" w:themeColor="text1"/>
              </w:rPr>
              <w:t>2</w:t>
            </w:r>
            <w:r w:rsidR="000B3E1C" w:rsidRPr="000B3E1C">
              <w:rPr>
                <w:color w:val="000000" w:themeColor="text1"/>
              </w:rPr>
              <w:t>/2025</w:t>
            </w:r>
          </w:p>
        </w:tc>
      </w:tr>
      <w:tr w:rsidR="004C3FAC" w:rsidRPr="002C2B8C" w14:paraId="2B3CFB3D" w14:textId="77777777" w:rsidTr="00E448F1">
        <w:trPr>
          <w:trHeight w:val="1216"/>
        </w:trPr>
        <w:tc>
          <w:tcPr>
            <w:tcW w:w="2694" w:type="dxa"/>
            <w:shd w:val="clear" w:color="auto" w:fill="9D9D9D" w:themeFill="accent4"/>
            <w:vAlign w:val="center"/>
          </w:tcPr>
          <w:p w14:paraId="2EC3DA4A" w14:textId="374BA0B0" w:rsidR="004C3FAC" w:rsidRPr="00651490" w:rsidRDefault="004C3FAC" w:rsidP="00417B9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lastRenderedPageBreak/>
              <w:t>A completar por</w:t>
            </w:r>
            <w:r>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DA07C60" w:rsidR="004C3FAC" w:rsidRPr="002C2B8C" w:rsidRDefault="004C3FAC" w:rsidP="00417B92">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tc>
        <w:tc>
          <w:tcPr>
            <w:tcW w:w="6096" w:type="dxa"/>
            <w:gridSpan w:val="10"/>
            <w:vAlign w:val="center"/>
          </w:tcPr>
          <w:p w14:paraId="76300501" w14:textId="77777777" w:rsidR="004C3FAC" w:rsidRPr="002C2B8C" w:rsidRDefault="004C3FAC" w:rsidP="00417B92">
            <w:pPr>
              <w:widowControl w:val="0"/>
              <w:spacing w:after="0" w:line="240" w:lineRule="auto"/>
              <w:rPr>
                <w:color w:val="3333FF"/>
                <w:szCs w:val="24"/>
              </w:rPr>
            </w:pPr>
          </w:p>
        </w:tc>
      </w:tr>
      <w:tr w:rsidR="004C3FAC" w:rsidRPr="002C2B8C" w14:paraId="2F514AA8" w14:textId="77777777" w:rsidTr="00D5542E">
        <w:trPr>
          <w:trHeight w:val="1104"/>
        </w:trPr>
        <w:tc>
          <w:tcPr>
            <w:tcW w:w="2694" w:type="dxa"/>
            <w:shd w:val="clear" w:color="auto" w:fill="9D9D9D" w:themeFill="accent4"/>
            <w:vAlign w:val="center"/>
          </w:tcPr>
          <w:p w14:paraId="6CCC3C27" w14:textId="61DE130A" w:rsidR="004C3FAC" w:rsidRPr="00651490" w:rsidRDefault="004C3FAC" w:rsidP="00A929D7">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el responsable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1A542F03" w14:textId="77777777" w:rsidR="004C3FAC" w:rsidRPr="002C2B8C" w:rsidRDefault="004C3FAC" w:rsidP="00A929D7">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p w14:paraId="722C9BFA" w14:textId="2A9C3958" w:rsidR="004C3FAC" w:rsidRPr="002C2B8C" w:rsidRDefault="004C3FAC" w:rsidP="00A929D7">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3468B0BE" w14:textId="77777777" w:rsidR="004C3FAC" w:rsidRPr="002C2B8C" w:rsidRDefault="004C3FAC" w:rsidP="00A929D7">
            <w:pPr>
              <w:widowControl w:val="0"/>
              <w:spacing w:after="0" w:line="240" w:lineRule="auto"/>
              <w:rPr>
                <w:color w:val="3333FF"/>
                <w:szCs w:val="24"/>
              </w:rPr>
            </w:pPr>
          </w:p>
        </w:tc>
      </w:tr>
      <w:tr w:rsidR="00F15EB9" w:rsidRPr="002C2B8C" w14:paraId="259EB31E" w14:textId="77777777" w:rsidTr="003F0C70">
        <w:trPr>
          <w:trHeight w:val="510"/>
        </w:trPr>
        <w:tc>
          <w:tcPr>
            <w:tcW w:w="10065" w:type="dxa"/>
            <w:gridSpan w:val="13"/>
            <w:shd w:val="clear" w:color="auto" w:fill="A6A6A6" w:themeFill="background1" w:themeFillShade="A6"/>
            <w:vAlign w:val="center"/>
          </w:tcPr>
          <w:p w14:paraId="516187AC" w14:textId="310AA2B2" w:rsidR="00F15EB9" w:rsidRPr="00F15EB9" w:rsidRDefault="00F15EB9" w:rsidP="00F15EB9">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Evaluación de</w:t>
            </w:r>
            <w:r>
              <w:rPr>
                <w:rFonts w:ascii="Roboto Light" w:hAnsi="Roboto Light" w:cs="Open Sans"/>
                <w:sz w:val="24"/>
                <w:szCs w:val="24"/>
                <w:lang w:val="es-ES"/>
              </w:rPr>
              <w:t xml:space="preserve"> la eficacia del cambio</w:t>
            </w:r>
            <w:r w:rsidR="003573AB">
              <w:rPr>
                <w:rFonts w:ascii="Roboto Light" w:hAnsi="Roboto Light" w:cs="Open Sans"/>
                <w:sz w:val="24"/>
                <w:szCs w:val="24"/>
                <w:lang w:val="es-ES"/>
              </w:rPr>
              <w:t xml:space="preserve"> – A completar cuando se efectúe el cambio</w:t>
            </w:r>
          </w:p>
        </w:tc>
      </w:tr>
      <w:tr w:rsidR="00F15EB9" w:rsidRPr="002C2B8C" w14:paraId="042AC55C" w14:textId="77777777" w:rsidTr="00F15EB9">
        <w:trPr>
          <w:trHeight w:val="798"/>
        </w:trPr>
        <w:tc>
          <w:tcPr>
            <w:tcW w:w="3355" w:type="dxa"/>
            <w:gridSpan w:val="2"/>
            <w:vMerge w:val="restart"/>
            <w:shd w:val="clear" w:color="auto" w:fill="A6A6A6" w:themeFill="background1" w:themeFillShade="A6"/>
            <w:vAlign w:val="center"/>
          </w:tcPr>
          <w:p w14:paraId="76A1F615" w14:textId="03F7DDA3" w:rsidR="00F15EB9" w:rsidRPr="00F15EB9" w:rsidRDefault="00F15EB9" w:rsidP="00F15EB9">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¿El cambio ha sido i</w:t>
            </w:r>
            <w:r>
              <w:rPr>
                <w:rFonts w:ascii="Roboto Light" w:hAnsi="Roboto Light" w:cs="Open Sans"/>
                <w:sz w:val="24"/>
                <w:szCs w:val="24"/>
                <w:lang w:val="es-ES"/>
              </w:rPr>
              <w:t>mplantado satisfactoriamente?</w:t>
            </w:r>
          </w:p>
        </w:tc>
        <w:tc>
          <w:tcPr>
            <w:tcW w:w="756" w:type="dxa"/>
            <w:gridSpan w:val="2"/>
            <w:shd w:val="clear" w:color="auto" w:fill="FFFFFF" w:themeFill="background1"/>
            <w:vAlign w:val="center"/>
          </w:tcPr>
          <w:sdt>
            <w:sdtPr>
              <w:rPr>
                <w:szCs w:val="22"/>
              </w:rPr>
              <w:id w:val="-567813489"/>
              <w14:checkbox>
                <w14:checked w14:val="1"/>
                <w14:checkedState w14:val="2612" w14:font="MS Gothic"/>
                <w14:uncheckedState w14:val="2610" w14:font="MS Gothic"/>
              </w14:checkbox>
            </w:sdtPr>
            <w:sdtContent>
              <w:p w14:paraId="3E6A84CE" w14:textId="4E003BF6" w:rsidR="00F15EB9" w:rsidRPr="00F15EB9" w:rsidRDefault="001F664C" w:rsidP="00F15EB9">
                <w:pPr>
                  <w:widowControl w:val="0"/>
                  <w:spacing w:after="0"/>
                  <w:jc w:val="center"/>
                  <w:rPr>
                    <w:szCs w:val="22"/>
                    <w:lang w:val="es-ES" w:eastAsia="en-US"/>
                  </w:rPr>
                </w:pPr>
                <w:r>
                  <w:rPr>
                    <w:rFonts w:ascii="MS Gothic" w:eastAsia="MS Gothic" w:hAnsi="MS Gothic" w:hint="eastAsia"/>
                    <w:szCs w:val="22"/>
                  </w:rPr>
                  <w:t>☒</w:t>
                </w:r>
              </w:p>
            </w:sdtContent>
          </w:sdt>
        </w:tc>
        <w:tc>
          <w:tcPr>
            <w:tcW w:w="5954" w:type="dxa"/>
            <w:gridSpan w:val="9"/>
            <w:shd w:val="clear" w:color="auto" w:fill="FFFFFF" w:themeFill="background1"/>
            <w:vAlign w:val="center"/>
          </w:tcPr>
          <w:p w14:paraId="645AA2F7" w14:textId="2B3F25DA" w:rsidR="00F15EB9" w:rsidRPr="00F15EB9" w:rsidRDefault="00F15EB9" w:rsidP="00F15EB9">
            <w:pPr>
              <w:pStyle w:val="Sinespaciado"/>
              <w:widowControl w:val="0"/>
              <w:rPr>
                <w:rFonts w:ascii="Roboto Light" w:hAnsi="Roboto Light" w:cs="Open Sans"/>
                <w:sz w:val="24"/>
                <w:szCs w:val="24"/>
                <w:lang w:val="es-ES"/>
              </w:rPr>
            </w:pPr>
            <w:r>
              <w:rPr>
                <w:rFonts w:ascii="Roboto Light" w:hAnsi="Roboto Light" w:cs="Open Sans"/>
                <w:sz w:val="24"/>
                <w:szCs w:val="24"/>
                <w:lang w:val="es-ES"/>
              </w:rPr>
              <w:t>Si</w:t>
            </w:r>
          </w:p>
        </w:tc>
      </w:tr>
      <w:tr w:rsidR="00F15EB9" w:rsidRPr="002C2B8C" w14:paraId="4E9C86D6" w14:textId="77777777" w:rsidTr="00F15EB9">
        <w:trPr>
          <w:trHeight w:val="258"/>
        </w:trPr>
        <w:tc>
          <w:tcPr>
            <w:tcW w:w="3355" w:type="dxa"/>
            <w:gridSpan w:val="2"/>
            <w:vMerge/>
            <w:shd w:val="clear" w:color="auto" w:fill="A6A6A6" w:themeFill="background1" w:themeFillShade="A6"/>
            <w:vAlign w:val="center"/>
          </w:tcPr>
          <w:p w14:paraId="2F778DDD" w14:textId="77777777" w:rsidR="00F15EB9" w:rsidRPr="00F15EB9" w:rsidRDefault="00F15EB9" w:rsidP="00F15EB9">
            <w:pPr>
              <w:pStyle w:val="Sinespaciado"/>
              <w:widowControl w:val="0"/>
              <w:jc w:val="center"/>
              <w:rPr>
                <w:rFonts w:ascii="Roboto Light" w:hAnsi="Roboto Light" w:cs="Open Sans"/>
                <w:sz w:val="24"/>
                <w:szCs w:val="24"/>
                <w:lang w:val="es-ES"/>
              </w:rPr>
            </w:pPr>
          </w:p>
        </w:tc>
        <w:tc>
          <w:tcPr>
            <w:tcW w:w="756" w:type="dxa"/>
            <w:gridSpan w:val="2"/>
            <w:vMerge w:val="restart"/>
            <w:shd w:val="clear" w:color="auto" w:fill="FFFFFF" w:themeFill="background1"/>
            <w:vAlign w:val="center"/>
          </w:tcPr>
          <w:sdt>
            <w:sdtPr>
              <w:rPr>
                <w:szCs w:val="22"/>
              </w:rPr>
              <w:id w:val="-1785033401"/>
              <w14:checkbox>
                <w14:checked w14:val="0"/>
                <w14:checkedState w14:val="2612" w14:font="MS Gothic"/>
                <w14:uncheckedState w14:val="2610" w14:font="MS Gothic"/>
              </w14:checkbox>
            </w:sdtPr>
            <w:sdtContent>
              <w:p w14:paraId="188A115B" w14:textId="5AD3FA22" w:rsidR="00F15EB9" w:rsidRPr="00F15EB9" w:rsidRDefault="00F15EB9" w:rsidP="00F15EB9">
                <w:pPr>
                  <w:widowControl w:val="0"/>
                  <w:spacing w:after="0"/>
                  <w:jc w:val="center"/>
                  <w:rPr>
                    <w:szCs w:val="22"/>
                    <w:lang w:val="es-ES" w:eastAsia="en-US"/>
                  </w:rPr>
                </w:pPr>
                <w:r w:rsidRPr="00F15EB9">
                  <w:rPr>
                    <w:rFonts w:ascii="MS Gothic" w:eastAsia="MS Gothic" w:hAnsi="MS Gothic" w:hint="eastAsia"/>
                    <w:szCs w:val="22"/>
                    <w:lang w:eastAsia="en-US"/>
                  </w:rPr>
                  <w:t>☐</w:t>
                </w:r>
              </w:p>
            </w:sdtContent>
          </w:sdt>
        </w:tc>
        <w:tc>
          <w:tcPr>
            <w:tcW w:w="851" w:type="dxa"/>
            <w:vMerge w:val="restart"/>
            <w:shd w:val="clear" w:color="auto" w:fill="FFFFFF" w:themeFill="background1"/>
            <w:vAlign w:val="center"/>
          </w:tcPr>
          <w:p w14:paraId="62B795F2" w14:textId="77777777" w:rsidR="00F15EB9" w:rsidRPr="00F15EB9" w:rsidRDefault="00F15EB9" w:rsidP="00F15EB9">
            <w:pPr>
              <w:pStyle w:val="Sinespaciado"/>
              <w:widowControl w:val="0"/>
              <w:rPr>
                <w:rFonts w:ascii="Roboto Light" w:hAnsi="Roboto Light" w:cs="Open Sans"/>
                <w:sz w:val="24"/>
                <w:szCs w:val="24"/>
              </w:rPr>
            </w:pPr>
            <w:r>
              <w:rPr>
                <w:rFonts w:ascii="Roboto Light" w:hAnsi="Roboto Light" w:cs="Open Sans"/>
                <w:sz w:val="24"/>
                <w:szCs w:val="24"/>
                <w:lang w:val="es-ES"/>
              </w:rPr>
              <w:t>No</w:t>
            </w:r>
          </w:p>
        </w:tc>
        <w:tc>
          <w:tcPr>
            <w:tcW w:w="5103" w:type="dxa"/>
            <w:gridSpan w:val="8"/>
            <w:shd w:val="clear" w:color="auto" w:fill="A6A6A6" w:themeFill="background1" w:themeFillShade="A6"/>
            <w:vAlign w:val="center"/>
          </w:tcPr>
          <w:p w14:paraId="376F9464" w14:textId="083E7112" w:rsidR="00F15EB9" w:rsidRPr="00F15EB9" w:rsidRDefault="00F15EB9" w:rsidP="00F15EB9">
            <w:pPr>
              <w:pStyle w:val="Sinespaciado"/>
              <w:widowControl w:val="0"/>
              <w:rPr>
                <w:rFonts w:ascii="Roboto Light" w:hAnsi="Roboto Light" w:cs="Open Sans"/>
                <w:sz w:val="24"/>
                <w:szCs w:val="24"/>
                <w:lang w:val="es-ES"/>
              </w:rPr>
            </w:pPr>
            <w:r>
              <w:rPr>
                <w:rFonts w:ascii="Roboto Light" w:hAnsi="Roboto Light" w:cs="Open Sans"/>
                <w:sz w:val="24"/>
                <w:szCs w:val="24"/>
                <w:lang w:val="es-ES"/>
              </w:rPr>
              <w:t>Observaciones</w:t>
            </w:r>
          </w:p>
        </w:tc>
      </w:tr>
      <w:tr w:rsidR="00F15EB9" w:rsidRPr="002C2B8C" w14:paraId="177C149E" w14:textId="77777777" w:rsidTr="00F15EB9">
        <w:trPr>
          <w:trHeight w:val="258"/>
        </w:trPr>
        <w:tc>
          <w:tcPr>
            <w:tcW w:w="3355" w:type="dxa"/>
            <w:gridSpan w:val="2"/>
            <w:vMerge/>
            <w:shd w:val="clear" w:color="auto" w:fill="A6A6A6" w:themeFill="background1" w:themeFillShade="A6"/>
            <w:vAlign w:val="center"/>
          </w:tcPr>
          <w:p w14:paraId="58A6FF67" w14:textId="77777777" w:rsidR="00F15EB9" w:rsidRPr="00F15EB9" w:rsidRDefault="00F15EB9" w:rsidP="00F15EB9">
            <w:pPr>
              <w:pStyle w:val="Sinespaciado"/>
              <w:widowControl w:val="0"/>
              <w:jc w:val="center"/>
              <w:rPr>
                <w:rFonts w:ascii="Roboto Light" w:hAnsi="Roboto Light" w:cs="Open Sans"/>
                <w:sz w:val="24"/>
                <w:szCs w:val="24"/>
              </w:rPr>
            </w:pPr>
          </w:p>
        </w:tc>
        <w:tc>
          <w:tcPr>
            <w:tcW w:w="756" w:type="dxa"/>
            <w:gridSpan w:val="2"/>
            <w:vMerge/>
            <w:shd w:val="clear" w:color="auto" w:fill="FFFFFF" w:themeFill="background1"/>
            <w:vAlign w:val="center"/>
          </w:tcPr>
          <w:p w14:paraId="19A0E4C4" w14:textId="77777777" w:rsidR="00F15EB9" w:rsidRPr="00F15EB9" w:rsidRDefault="00F15EB9" w:rsidP="00F15EB9">
            <w:pPr>
              <w:pStyle w:val="Sinespaciado"/>
              <w:widowControl w:val="0"/>
              <w:jc w:val="center"/>
              <w:rPr>
                <w:rFonts w:ascii="Roboto Light" w:hAnsi="Roboto Light" w:cs="Open Sans"/>
                <w:sz w:val="24"/>
                <w:szCs w:val="24"/>
              </w:rPr>
            </w:pPr>
          </w:p>
        </w:tc>
        <w:tc>
          <w:tcPr>
            <w:tcW w:w="851" w:type="dxa"/>
            <w:vMerge/>
            <w:shd w:val="clear" w:color="auto" w:fill="FFFFFF" w:themeFill="background1"/>
            <w:vAlign w:val="center"/>
          </w:tcPr>
          <w:p w14:paraId="4C74FE95" w14:textId="77777777" w:rsidR="00F15EB9" w:rsidRDefault="00F15EB9" w:rsidP="00F15EB9">
            <w:pPr>
              <w:pStyle w:val="Sinespaciado"/>
              <w:widowControl w:val="0"/>
              <w:rPr>
                <w:rFonts w:ascii="Roboto Light" w:hAnsi="Roboto Light" w:cs="Open Sans"/>
                <w:sz w:val="24"/>
                <w:szCs w:val="24"/>
              </w:rPr>
            </w:pPr>
          </w:p>
        </w:tc>
        <w:tc>
          <w:tcPr>
            <w:tcW w:w="5103" w:type="dxa"/>
            <w:gridSpan w:val="8"/>
            <w:shd w:val="clear" w:color="auto" w:fill="FFFFFF" w:themeFill="background1"/>
            <w:vAlign w:val="center"/>
          </w:tcPr>
          <w:p w14:paraId="584F8CF6" w14:textId="77777777" w:rsidR="00F15EB9" w:rsidRDefault="00F15EB9" w:rsidP="00F15EB9">
            <w:pPr>
              <w:pStyle w:val="Sinespaciado"/>
              <w:widowControl w:val="0"/>
              <w:rPr>
                <w:rFonts w:ascii="Roboto Light" w:hAnsi="Roboto Light" w:cs="Open Sans"/>
                <w:sz w:val="24"/>
                <w:szCs w:val="24"/>
              </w:rPr>
            </w:pPr>
          </w:p>
          <w:p w14:paraId="62C8C24B" w14:textId="77777777" w:rsidR="00F15EB9" w:rsidRDefault="00F15EB9" w:rsidP="00F15EB9">
            <w:pPr>
              <w:pStyle w:val="Sinespaciado"/>
              <w:widowControl w:val="0"/>
              <w:rPr>
                <w:rFonts w:ascii="Roboto Light" w:hAnsi="Roboto Light" w:cs="Open Sans"/>
                <w:sz w:val="24"/>
                <w:szCs w:val="24"/>
              </w:rPr>
            </w:pPr>
          </w:p>
          <w:p w14:paraId="3F5769A1" w14:textId="77777777" w:rsidR="00F15EB9" w:rsidRPr="00F15EB9" w:rsidRDefault="00F15EB9" w:rsidP="00F15EB9">
            <w:pPr>
              <w:pStyle w:val="Sinespaciado"/>
              <w:widowControl w:val="0"/>
              <w:rPr>
                <w:rFonts w:ascii="Roboto Light" w:hAnsi="Roboto Light" w:cs="Open Sans"/>
                <w:sz w:val="24"/>
                <w:szCs w:val="24"/>
              </w:rPr>
            </w:pPr>
          </w:p>
        </w:tc>
      </w:tr>
      <w:tr w:rsidR="00F15EB9" w:rsidRPr="002C2B8C" w14:paraId="575A0BB9" w14:textId="77777777" w:rsidTr="00C37F4A">
        <w:trPr>
          <w:trHeight w:val="258"/>
        </w:trPr>
        <w:tc>
          <w:tcPr>
            <w:tcW w:w="10065" w:type="dxa"/>
            <w:gridSpan w:val="13"/>
            <w:shd w:val="clear" w:color="auto" w:fill="A6A6A6" w:themeFill="background1" w:themeFillShade="A6"/>
            <w:vAlign w:val="center"/>
          </w:tcPr>
          <w:p w14:paraId="2F9DE4AA" w14:textId="3DBCA163"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r w:rsidR="004C3FAC">
              <w:rPr>
                <w:rFonts w:ascii="Roboto Light" w:hAnsi="Roboto Light" w:cs="Open Sans"/>
                <w:sz w:val="24"/>
                <w:szCs w:val="24"/>
              </w:rPr>
              <w:t xml:space="preserve"> </w:t>
            </w:r>
            <w:r w:rsidR="004C3FAC">
              <w:rPr>
                <w:rFonts w:ascii="Roboto Light" w:hAnsi="Roboto Light" w:cs="Open Sans"/>
                <w:sz w:val="24"/>
                <w:szCs w:val="24"/>
                <w:lang w:val="es-ES"/>
              </w:rPr>
              <w:t>– A completar cuando se efectúe el cambio</w:t>
            </w:r>
          </w:p>
        </w:tc>
      </w:tr>
      <w:tr w:rsidR="00F15EB9" w:rsidRPr="002C2B8C" w14:paraId="4CAC45CD" w14:textId="77777777" w:rsidTr="00F15EB9">
        <w:trPr>
          <w:trHeight w:val="258"/>
        </w:trPr>
        <w:tc>
          <w:tcPr>
            <w:tcW w:w="10065" w:type="dxa"/>
            <w:gridSpan w:val="13"/>
            <w:shd w:val="clear" w:color="auto" w:fill="FFFFFF" w:themeFill="background1"/>
            <w:vAlign w:val="center"/>
          </w:tcPr>
          <w:p w14:paraId="2411746D" w14:textId="378B8B35" w:rsidR="00F15EB9" w:rsidRDefault="007A31A8" w:rsidP="007A31A8">
            <w:pPr>
              <w:pStyle w:val="Sinespaciado"/>
              <w:widowControl w:val="0"/>
              <w:rPr>
                <w:rFonts w:ascii="Roboto Light" w:hAnsi="Roboto Light" w:cs="Open Sans"/>
                <w:sz w:val="24"/>
                <w:szCs w:val="24"/>
              </w:rPr>
            </w:pPr>
            <w:r w:rsidRPr="007A31A8">
              <w:rPr>
                <w:rFonts w:ascii="Roboto Light" w:hAnsi="Roboto Light" w:cs="Open Sans"/>
                <w:sz w:val="24"/>
                <w:szCs w:val="24"/>
                <w:lang w:val="hsb-DE"/>
              </w:rPr>
              <w:t xml:space="preserve">Se ha actualizado el </w:t>
            </w:r>
            <w:r w:rsidRPr="007A31A8">
              <w:rPr>
                <w:rFonts w:ascii="Roboto Light" w:hAnsi="Roboto Light" w:cs="Open Sans"/>
                <w:b/>
                <w:bCs/>
                <w:sz w:val="24"/>
                <w:szCs w:val="24"/>
                <w:lang w:val="hsb-DE"/>
              </w:rPr>
              <w:t xml:space="preserve">PNT-030 </w:t>
            </w:r>
            <w:r w:rsidRPr="007A31A8">
              <w:rPr>
                <w:rFonts w:ascii="Roboto Light" w:hAnsi="Roboto Light" w:cs="Open Sans"/>
                <w:sz w:val="24"/>
                <w:szCs w:val="24"/>
                <w:lang w:val="hsb-DE"/>
              </w:rPr>
              <w:t>reescribiendo el apartado 4.1 para listar las fuentes oficiales (DOUE, MDCG, AEMPS) y asignar la responsabilidad de la revisión trimestral al Responsable de Calidad.</w:t>
            </w:r>
          </w:p>
        </w:tc>
      </w:tr>
      <w:tr w:rsidR="00F15EB9" w:rsidRPr="002C2B8C" w14:paraId="581F16A5" w14:textId="77777777" w:rsidTr="00F15EB9">
        <w:trPr>
          <w:trHeight w:val="258"/>
        </w:trPr>
        <w:tc>
          <w:tcPr>
            <w:tcW w:w="5032" w:type="dxa"/>
            <w:gridSpan w:val="6"/>
            <w:shd w:val="clear" w:color="auto" w:fill="A6A6A6" w:themeFill="background1" w:themeFillShade="A6"/>
            <w:vAlign w:val="center"/>
          </w:tcPr>
          <w:p w14:paraId="10765F09" w14:textId="3879C115"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shd w:val="clear" w:color="auto" w:fill="A6A6A6" w:themeFill="background1" w:themeFillShade="A6"/>
            <w:vAlign w:val="center"/>
          </w:tcPr>
          <w:p w14:paraId="50C95DC4" w14:textId="76DF45D7"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F15EB9" w:rsidRPr="002C2B8C" w14:paraId="65853628" w14:textId="77777777" w:rsidTr="00AF5367">
        <w:trPr>
          <w:trHeight w:val="1148"/>
        </w:trPr>
        <w:tc>
          <w:tcPr>
            <w:tcW w:w="5032" w:type="dxa"/>
            <w:gridSpan w:val="6"/>
            <w:shd w:val="clear" w:color="auto" w:fill="FFFFFF" w:themeFill="background1"/>
            <w:vAlign w:val="center"/>
          </w:tcPr>
          <w:p w14:paraId="535CB82D" w14:textId="338A395E" w:rsidR="00F15EB9" w:rsidRDefault="007A31A8" w:rsidP="007A31A8">
            <w:pPr>
              <w:pStyle w:val="Sinespaciado"/>
              <w:widowControl w:val="0"/>
              <w:rPr>
                <w:rFonts w:ascii="Roboto Light" w:hAnsi="Roboto Light" w:cs="Open Sans"/>
                <w:sz w:val="24"/>
                <w:szCs w:val="24"/>
              </w:rPr>
            </w:pPr>
            <w:r>
              <w:rPr>
                <w:rFonts w:ascii="Roboto Light" w:hAnsi="Roboto Light" w:cs="Open Sans"/>
                <w:sz w:val="24"/>
                <w:szCs w:val="24"/>
              </w:rPr>
              <w:t>Iván Pérez</w:t>
            </w:r>
          </w:p>
          <w:p w14:paraId="65968F56" w14:textId="77777777" w:rsidR="00F15EB9" w:rsidRDefault="00F15EB9" w:rsidP="00F15EB9">
            <w:pPr>
              <w:pStyle w:val="Sinespaciado"/>
              <w:widowControl w:val="0"/>
              <w:jc w:val="center"/>
              <w:rPr>
                <w:rFonts w:ascii="Roboto Light" w:hAnsi="Roboto Light" w:cs="Open Sans"/>
                <w:sz w:val="24"/>
                <w:szCs w:val="24"/>
              </w:rPr>
            </w:pPr>
          </w:p>
        </w:tc>
        <w:tc>
          <w:tcPr>
            <w:tcW w:w="5033" w:type="dxa"/>
            <w:gridSpan w:val="7"/>
            <w:shd w:val="clear" w:color="auto" w:fill="FFFFFF" w:themeFill="background1"/>
            <w:vAlign w:val="center"/>
          </w:tcPr>
          <w:p w14:paraId="5C05CC8D" w14:textId="77777777" w:rsidR="00F15EB9" w:rsidRDefault="00F15EB9" w:rsidP="00F15EB9">
            <w:pPr>
              <w:pStyle w:val="Sinespaciado"/>
              <w:widowControl w:val="0"/>
              <w:jc w:val="center"/>
              <w:rPr>
                <w:rFonts w:ascii="Roboto Light" w:hAnsi="Roboto Light" w:cs="Open Sans"/>
                <w:sz w:val="24"/>
                <w:szCs w:val="24"/>
              </w:rPr>
            </w:pPr>
          </w:p>
        </w:tc>
      </w:tr>
    </w:tbl>
    <w:p w14:paraId="5D4A53E2" w14:textId="77777777" w:rsidR="00866E24" w:rsidRPr="002C2B8C" w:rsidRDefault="00866E24">
      <w:pPr>
        <w:rPr>
          <w:szCs w:val="24"/>
        </w:rPr>
      </w:pPr>
    </w:p>
    <w:sectPr w:rsidR="00866E24" w:rsidRPr="002C2B8C" w:rsidSect="00337898">
      <w:headerReference w:type="default" r:id="rId11"/>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1AA23" w14:textId="77777777" w:rsidR="00715C9F" w:rsidRDefault="00715C9F">
      <w:pPr>
        <w:spacing w:after="0" w:line="240" w:lineRule="auto"/>
      </w:pPr>
      <w:r>
        <w:separator/>
      </w:r>
    </w:p>
  </w:endnote>
  <w:endnote w:type="continuationSeparator" w:id="0">
    <w:p w14:paraId="2A34EFFD" w14:textId="77777777" w:rsidR="00715C9F" w:rsidRDefault="00715C9F">
      <w:pPr>
        <w:spacing w:after="0" w:line="240" w:lineRule="auto"/>
      </w:pPr>
      <w:r>
        <w:continuationSeparator/>
      </w:r>
    </w:p>
  </w:endnote>
  <w:endnote w:type="continuationNotice" w:id="1">
    <w:p w14:paraId="0BAF3688" w14:textId="77777777" w:rsidR="00715C9F" w:rsidRDefault="00715C9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14936" w14:textId="77777777" w:rsidR="00715C9F" w:rsidRDefault="00715C9F">
      <w:pPr>
        <w:spacing w:after="0" w:line="240" w:lineRule="auto"/>
      </w:pPr>
      <w:r>
        <w:separator/>
      </w:r>
    </w:p>
  </w:footnote>
  <w:footnote w:type="continuationSeparator" w:id="0">
    <w:p w14:paraId="368ACC3D" w14:textId="77777777" w:rsidR="00715C9F" w:rsidRDefault="00715C9F">
      <w:pPr>
        <w:spacing w:after="0" w:line="240" w:lineRule="auto"/>
      </w:pPr>
      <w:r>
        <w:continuationSeparator/>
      </w:r>
    </w:p>
  </w:footnote>
  <w:footnote w:type="continuationNotice" w:id="1">
    <w:p w14:paraId="34405017" w14:textId="77777777" w:rsidR="00715C9F" w:rsidRDefault="00715C9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611610BF" w:rsidR="00B27368" w:rsidRPr="0071356F" w:rsidRDefault="00B27368" w:rsidP="00B27368">
          <w:pPr>
            <w:pStyle w:val="Contenidodelatabla"/>
            <w:rPr>
              <w:szCs w:val="24"/>
            </w:rPr>
          </w:pPr>
          <w:r w:rsidRPr="0071356F">
            <w:rPr>
              <w:szCs w:val="24"/>
            </w:rPr>
            <w:t>Código: PNT-</w:t>
          </w:r>
          <w:r w:rsidR="00D97AF1">
            <w:rPr>
              <w:szCs w:val="24"/>
            </w:rPr>
            <w:t>006.0</w:t>
          </w:r>
          <w:r w:rsidR="001555F9">
            <w:rPr>
              <w:szCs w:val="24"/>
            </w:rPr>
            <w:t>5</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11A52E6E" w:rsidR="00B27368" w:rsidRPr="0071356F" w:rsidRDefault="00B27368" w:rsidP="00B27368">
          <w:pPr>
            <w:pStyle w:val="Contenidodelatabla"/>
            <w:rPr>
              <w:szCs w:val="24"/>
            </w:rPr>
          </w:pPr>
          <w:r w:rsidRPr="0071356F">
            <w:rPr>
              <w:szCs w:val="24"/>
            </w:rPr>
            <w:t xml:space="preserve">Fecha de vigor: </w:t>
          </w:r>
          <w:r w:rsidR="001555F9">
            <w:rPr>
              <w:szCs w:val="24"/>
            </w:rPr>
            <w:t>14</w:t>
          </w:r>
          <w:r w:rsidR="001761F4" w:rsidRPr="001761F4">
            <w:rPr>
              <w:szCs w:val="24"/>
            </w:rPr>
            <w:t>/0</w:t>
          </w:r>
          <w:r w:rsidR="001555F9">
            <w:rPr>
              <w:szCs w:val="24"/>
            </w:rPr>
            <w:t>7</w:t>
          </w:r>
          <w:r w:rsidR="001761F4" w:rsidRPr="001761F4">
            <w:rPr>
              <w:szCs w:val="24"/>
            </w:rPr>
            <w:t>/2025</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423E"/>
    <w:rsid w:val="000437E9"/>
    <w:rsid w:val="000574C8"/>
    <w:rsid w:val="00063B31"/>
    <w:rsid w:val="000B3E1C"/>
    <w:rsid w:val="000C6C0A"/>
    <w:rsid w:val="000F4613"/>
    <w:rsid w:val="000F74FE"/>
    <w:rsid w:val="0011676A"/>
    <w:rsid w:val="001555F9"/>
    <w:rsid w:val="00165FE3"/>
    <w:rsid w:val="001761F4"/>
    <w:rsid w:val="001F664C"/>
    <w:rsid w:val="00205FC4"/>
    <w:rsid w:val="00221C32"/>
    <w:rsid w:val="00245DD6"/>
    <w:rsid w:val="00294994"/>
    <w:rsid w:val="002A37AC"/>
    <w:rsid w:val="002B2DB0"/>
    <w:rsid w:val="002C2B8C"/>
    <w:rsid w:val="002C736E"/>
    <w:rsid w:val="002D1F41"/>
    <w:rsid w:val="002D63ED"/>
    <w:rsid w:val="002F51BD"/>
    <w:rsid w:val="0031021D"/>
    <w:rsid w:val="00337898"/>
    <w:rsid w:val="0035002C"/>
    <w:rsid w:val="003573AB"/>
    <w:rsid w:val="003921C3"/>
    <w:rsid w:val="003E1FAC"/>
    <w:rsid w:val="00400E52"/>
    <w:rsid w:val="00417B92"/>
    <w:rsid w:val="004A1393"/>
    <w:rsid w:val="004C3FAC"/>
    <w:rsid w:val="004D444E"/>
    <w:rsid w:val="005048E7"/>
    <w:rsid w:val="00513C59"/>
    <w:rsid w:val="005149FE"/>
    <w:rsid w:val="00522907"/>
    <w:rsid w:val="005636F4"/>
    <w:rsid w:val="00574963"/>
    <w:rsid w:val="00577A89"/>
    <w:rsid w:val="005A6D33"/>
    <w:rsid w:val="005C1423"/>
    <w:rsid w:val="005D11E7"/>
    <w:rsid w:val="005E79D5"/>
    <w:rsid w:val="005F6091"/>
    <w:rsid w:val="00604805"/>
    <w:rsid w:val="00641315"/>
    <w:rsid w:val="00642DD5"/>
    <w:rsid w:val="006434FE"/>
    <w:rsid w:val="00645518"/>
    <w:rsid w:val="00651490"/>
    <w:rsid w:val="00687D69"/>
    <w:rsid w:val="006B2383"/>
    <w:rsid w:val="006D6449"/>
    <w:rsid w:val="006E3A5C"/>
    <w:rsid w:val="007112DF"/>
    <w:rsid w:val="00715C9F"/>
    <w:rsid w:val="00760905"/>
    <w:rsid w:val="00774CA3"/>
    <w:rsid w:val="00796338"/>
    <w:rsid w:val="007A31A8"/>
    <w:rsid w:val="0081310D"/>
    <w:rsid w:val="008177C9"/>
    <w:rsid w:val="00856AAE"/>
    <w:rsid w:val="008649D4"/>
    <w:rsid w:val="00866E24"/>
    <w:rsid w:val="008951C2"/>
    <w:rsid w:val="00897157"/>
    <w:rsid w:val="008A770B"/>
    <w:rsid w:val="00917F06"/>
    <w:rsid w:val="009414BF"/>
    <w:rsid w:val="0095062B"/>
    <w:rsid w:val="00957F41"/>
    <w:rsid w:val="0097795A"/>
    <w:rsid w:val="00982C25"/>
    <w:rsid w:val="009A3417"/>
    <w:rsid w:val="009D4AF2"/>
    <w:rsid w:val="009E1677"/>
    <w:rsid w:val="009E7278"/>
    <w:rsid w:val="00A3716B"/>
    <w:rsid w:val="00A41512"/>
    <w:rsid w:val="00A41BA9"/>
    <w:rsid w:val="00A47156"/>
    <w:rsid w:val="00A5007E"/>
    <w:rsid w:val="00A62652"/>
    <w:rsid w:val="00A717B2"/>
    <w:rsid w:val="00A74255"/>
    <w:rsid w:val="00A8387D"/>
    <w:rsid w:val="00A95A2A"/>
    <w:rsid w:val="00AE63BB"/>
    <w:rsid w:val="00AF5367"/>
    <w:rsid w:val="00B27368"/>
    <w:rsid w:val="00B30FE2"/>
    <w:rsid w:val="00B55F34"/>
    <w:rsid w:val="00B568D7"/>
    <w:rsid w:val="00B618C4"/>
    <w:rsid w:val="00B666F0"/>
    <w:rsid w:val="00BB1068"/>
    <w:rsid w:val="00BF482F"/>
    <w:rsid w:val="00C34B03"/>
    <w:rsid w:val="00CC5FA8"/>
    <w:rsid w:val="00D111BC"/>
    <w:rsid w:val="00D47DC1"/>
    <w:rsid w:val="00D63E1A"/>
    <w:rsid w:val="00D84407"/>
    <w:rsid w:val="00D97AF1"/>
    <w:rsid w:val="00DB2EB9"/>
    <w:rsid w:val="00DB3C8E"/>
    <w:rsid w:val="00DD5B41"/>
    <w:rsid w:val="00E2171A"/>
    <w:rsid w:val="00E3405D"/>
    <w:rsid w:val="00E47DEC"/>
    <w:rsid w:val="00EA65C3"/>
    <w:rsid w:val="00EE4665"/>
    <w:rsid w:val="00EE7267"/>
    <w:rsid w:val="00F05451"/>
    <w:rsid w:val="00F12194"/>
    <w:rsid w:val="00F15EB9"/>
    <w:rsid w:val="00F30589"/>
    <w:rsid w:val="00F7000B"/>
    <w:rsid w:val="00F73E2B"/>
    <w:rsid w:val="00F75656"/>
    <w:rsid w:val="00F8131A"/>
    <w:rsid w:val="00F853BD"/>
    <w:rsid w:val="00F87A36"/>
    <w:rsid w:val="00F9504F"/>
    <w:rsid w:val="15E45E34"/>
    <w:rsid w:val="196BD95F"/>
    <w:rsid w:val="459BF8C2"/>
    <w:rsid w:val="4CD84ABC"/>
    <w:rsid w:val="6BF0CB46"/>
    <w:rsid w:val="70717F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02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4547">
      <w:bodyDiv w:val="1"/>
      <w:marLeft w:val="0"/>
      <w:marRight w:val="0"/>
      <w:marTop w:val="0"/>
      <w:marBottom w:val="0"/>
      <w:divBdr>
        <w:top w:val="none" w:sz="0" w:space="0" w:color="auto"/>
        <w:left w:val="none" w:sz="0" w:space="0" w:color="auto"/>
        <w:bottom w:val="none" w:sz="0" w:space="0" w:color="auto"/>
        <w:right w:val="none" w:sz="0" w:space="0" w:color="auto"/>
      </w:divBdr>
    </w:div>
    <w:div w:id="144442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0DDD4B-FB7F-4D82-BAAF-0F1EFDDAD608}">
  <ds:schemaRefs>
    <ds:schemaRef ds:uri="http://schemas.microsoft.com/sharepoint/v3/contenttype/forms"/>
  </ds:schemaRefs>
</ds:datastoreItem>
</file>

<file path=customXml/itemProps2.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3.xml><?xml version="1.0" encoding="utf-8"?>
<ds:datastoreItem xmlns:ds="http://schemas.openxmlformats.org/officeDocument/2006/customXml" ds:itemID="{9124A58C-FE97-4009-BB73-2FEBDC28F6A4}">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4.xml><?xml version="1.0" encoding="utf-8"?>
<ds:datastoreItem xmlns:ds="http://schemas.openxmlformats.org/officeDocument/2006/customXml" ds:itemID="{EC7CB824-0A37-4C73-A0EC-7CE4622A61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9</TotalTime>
  <Pages>3</Pages>
  <Words>546</Words>
  <Characters>3009</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128</cp:revision>
  <cp:lastPrinted>2021-04-29T11:24:00Z</cp:lastPrinted>
  <dcterms:created xsi:type="dcterms:W3CDTF">2024-02-08T12:25:00Z</dcterms:created>
  <dcterms:modified xsi:type="dcterms:W3CDTF">2025-11-27T08:35:00Z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