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7"/>
          <w:szCs w:val="27"/>
        </w:rPr>
        <w:t xml:space="preserve">TUGAS INDIVIDU MINGGUAN — PROYEK EVENTKU</w:t>
      </w:r>
    </w:p>
    <w:p>
      <w:pPr>
        <w:spacing w:after="200"/>
        <w:jc w:val="center"/>
      </w:pPr>
      <w:r>
        <w:rPr>
          <w:i/>
          <w:iCs/>
          <w:sz w:val="23"/>
          <w:szCs w:val="23"/>
        </w:rPr>
        <w:t xml:space="preserve">Minggu 2: Fase Analisis Kebutuhan Awal</w:t>
      </w:r>
    </w:p>
    <w:tbl>
      <w:tblPr>
        <w:tblW w:type="dxa" w:w="9073"/>
        <w:tblBorders>
          <w:top w:val="none" w:color="FFFFFF" w:sz="0"/>
          <w:left w:val="none" w:color="FFFFFF" w:sz="0"/>
          <w:bottom w:val="none" w:color="FFFFFF" w:sz="0"/>
          <w:right w:val="none" w:color="FFFFFF" w:sz="0"/>
          <w:insideH w:val="none" w:color="FFFFFF" w:sz="0"/>
          <w:insideV w:val="none" w:color="FFFFFF" w:sz="0"/>
        </w:tblBorders>
      </w:tblPr>
      <w:tblGrid>
        <w:gridCol w:w="1996"/>
        <w:gridCol w:w="7077"/>
      </w:tblGrid>
      <w:tr>
        <w:tc>
          <w:tcPr>
            <w:tcW w:type="dxa" w:w="1996"/>
            <w:tcMar>
              <w:top w:type="dxa" w:w="40"/>
              <w:left w:type="dxa" w:w="0"/>
              <w:bottom w:type="dxa" w:w="40"/>
              <w:right w:type="dxa" w:w="60"/>
            </w:tcMar>
          </w:tcPr>
          <w:p>
            <w:r>
              <w:rPr>
                <w:b/>
                <w:bCs/>
                <w:sz w:val="20"/>
                <w:szCs w:val="20"/>
              </w:rPr>
              <w:t xml:space="preserve">Mata Kuliah</w:t>
            </w:r>
          </w:p>
        </w:tc>
        <w:tc>
          <w:tcPr>
            <w:tcW w:type="dxa" w:w="7077"/>
            <w:tcMar>
              <w:top w:type="dxa" w:w="40"/>
              <w:left w:type="dxa" w:w="0"/>
              <w:bottom w:type="dxa" w:w="40"/>
              <w:right w:type="dxa" w:w="0"/>
            </w:tcMar>
          </w:tcPr>
          <w:p>
            <w:r>
              <w:rPr>
                <w:sz w:val="20"/>
                <w:szCs w:val="20"/>
              </w:rPr>
              <w:t xml:space="preserve">: INF300 – Rekayasa Perangkat Lunak (3 sks)</w:t>
            </w:r>
          </w:p>
        </w:tc>
      </w:tr>
      <w:tr>
        <w:tc>
          <w:tcPr>
            <w:tcW w:type="dxa" w:w="1996"/>
            <w:tcMar>
              <w:top w:type="dxa" w:w="40"/>
              <w:left w:type="dxa" w:w="0"/>
              <w:bottom w:type="dxa" w:w="40"/>
              <w:right w:type="dxa" w:w="60"/>
            </w:tcMar>
          </w:tcPr>
          <w:p>
            <w:r>
              <w:rPr>
                <w:b/>
                <w:bCs/>
                <w:sz w:val="20"/>
                <w:szCs w:val="20"/>
              </w:rPr>
              <w:t xml:space="preserve">Dosen Pengampu</w:t>
            </w:r>
          </w:p>
        </w:tc>
        <w:tc>
          <w:tcPr>
            <w:tcW w:type="dxa" w:w="7077"/>
            <w:tcMar>
              <w:top w:type="dxa" w:w="40"/>
              <w:left w:type="dxa" w:w="0"/>
              <w:bottom w:type="dxa" w:w="40"/>
              <w:right w:type="dxa" w:w="0"/>
            </w:tcMar>
          </w:tcPr>
          <w:p>
            <w:r>
              <w:rPr>
                <w:sz w:val="20"/>
                <w:szCs w:val="20"/>
              </w:rPr>
              <w:t xml:space="preserve">: Ir. Drs. Peter Rhatodirdjo Angka, M.Kom., IPM., ASEAN Eng.</w:t>
            </w:r>
          </w:p>
        </w:tc>
      </w:tr>
      <w:tr>
        <w:tc>
          <w:tcPr>
            <w:tcW w:type="dxa" w:w="1996"/>
            <w:tcMar>
              <w:top w:type="dxa" w:w="40"/>
              <w:left w:type="dxa" w:w="0"/>
              <w:bottom w:type="dxa" w:w="40"/>
              <w:right w:type="dxa" w:w="60"/>
            </w:tcMar>
          </w:tcPr>
          <w:p>
            <w:r>
              <w:rPr>
                <w:b/>
                <w:bCs/>
                <w:sz w:val="20"/>
                <w:szCs w:val="20"/>
              </w:rPr>
              <w:t xml:space="preserve">Program Studi</w:t>
            </w:r>
          </w:p>
        </w:tc>
        <w:tc>
          <w:tcPr>
            <w:tcW w:type="dxa" w:w="7077"/>
            <w:tcMar>
              <w:top w:type="dxa" w:w="40"/>
              <w:left w:type="dxa" w:w="0"/>
              <w:bottom w:type="dxa" w:w="40"/>
              <w:right w:type="dxa" w:w="0"/>
            </w:tcMar>
          </w:tcPr>
          <w:p>
            <w:r>
              <w:rPr>
                <w:sz w:val="20"/>
                <w:szCs w:val="20"/>
              </w:rPr>
              <w:t xml:space="preserve">: S1 Informatika, Fakultas Teknik – UKWMS</w:t>
            </w:r>
          </w:p>
        </w:tc>
      </w:tr>
      <w:tr>
        <w:tc>
          <w:tcPr>
            <w:tcW w:type="dxa" w:w="1996"/>
            <w:tcMar>
              <w:top w:type="dxa" w:w="40"/>
              <w:left w:type="dxa" w:w="0"/>
              <w:bottom w:type="dxa" w:w="40"/>
              <w:right w:type="dxa" w:w="60"/>
            </w:tcMar>
          </w:tcPr>
          <w:p>
            <w:r>
              <w:rPr>
                <w:b/>
                <w:bCs/>
                <w:sz w:val="20"/>
                <w:szCs w:val="20"/>
              </w:rPr>
              <w:t xml:space="preserve">Semester</w:t>
            </w:r>
          </w:p>
        </w:tc>
        <w:tc>
          <w:tcPr>
            <w:tcW w:type="dxa" w:w="7077"/>
            <w:tcMar>
              <w:top w:type="dxa" w:w="40"/>
              <w:left w:type="dxa" w:w="0"/>
              <w:bottom w:type="dxa" w:w="40"/>
              <w:right w:type="dxa" w:w="0"/>
            </w:tcMar>
          </w:tcPr>
          <w:p>
            <w:r>
              <w:rPr>
                <w:sz w:val="20"/>
                <w:szCs w:val="20"/>
              </w:rPr>
              <w:t xml:space="preserve">: Gasal 2026/2027</w:t>
            </w:r>
          </w:p>
        </w:tc>
      </w:tr>
      <w:tr>
        <w:tc>
          <w:tcPr>
            <w:tcW w:type="dxa" w:w="1996"/>
            <w:tcMar>
              <w:top w:type="dxa" w:w="40"/>
              <w:left w:type="dxa" w:w="0"/>
              <w:bottom w:type="dxa" w:w="40"/>
              <w:right w:type="dxa" w:w="60"/>
            </w:tcMar>
          </w:tcPr>
          <w:p>
            <w:r>
              <w:rPr>
                <w:b/>
                <w:bCs/>
                <w:sz w:val="20"/>
                <w:szCs w:val="20"/>
              </w:rPr>
              <w:t xml:space="preserve">Kelompok</w:t>
            </w:r>
          </w:p>
        </w:tc>
        <w:tc>
          <w:tcPr>
            <w:tcW w:type="dxa" w:w="7077"/>
            <w:tcMar>
              <w:top w:type="dxa" w:w="40"/>
              <w:left w:type="dxa" w:w="0"/>
              <w:bottom w:type="dxa" w:w="40"/>
              <w:right w:type="dxa" w:w="0"/>
            </w:tcMar>
          </w:tcPr>
          <w:p>
            <w:r>
              <w:rPr>
                <w:sz w:val="20"/>
                <w:szCs w:val="20"/>
              </w:rPr>
              <w:t xml:space="preserve">: Kelompok IV</w:t>
            </w:r>
          </w:p>
        </w:tc>
      </w:tr>
      <w:tr>
        <w:tc>
          <w:tcPr>
            <w:tcW w:type="dxa" w:w="1996"/>
            <w:tcMar>
              <w:top w:type="dxa" w:w="40"/>
              <w:left w:type="dxa" w:w="0"/>
              <w:bottom w:type="dxa" w:w="40"/>
              <w:right w:type="dxa" w:w="60"/>
            </w:tcMar>
          </w:tcPr>
          <w:p>
            <w:r>
              <w:rPr>
                <w:b/>
                <w:bCs/>
                <w:sz w:val="20"/>
                <w:szCs w:val="20"/>
              </w:rPr>
              <w:t xml:space="preserve">Disusun oleh</w:t>
            </w:r>
          </w:p>
        </w:tc>
        <w:tc>
          <w:tcPr>
            <w:tcW w:type="dxa" w:w="7077"/>
            <w:tcMar>
              <w:top w:type="dxa" w:w="40"/>
              <w:left w:type="dxa" w:w="0"/>
              <w:bottom w:type="dxa" w:w="40"/>
              <w:right w:type="dxa" w:w="0"/>
            </w:tcMar>
          </w:tcPr>
          <w:p>
            <w:r>
              <w:rPr>
                <w:sz w:val="20"/>
                <w:szCs w:val="20"/>
              </w:rPr>
              <w:t xml:space="preserve">: Bambang (5803024019) – System Architect &amp; Frontend Developer</w:t>
            </w:r>
          </w:p>
        </w:tc>
      </w:tr>
      <w:tr>
        <w:tc>
          <w:tcPr>
            <w:tcW w:type="dxa" w:w="1996"/>
            <w:tcMar>
              <w:top w:type="dxa" w:w="40"/>
              <w:left w:type="dxa" w:w="0"/>
              <w:bottom w:type="dxa" w:w="40"/>
              <w:right w:type="dxa" w:w="60"/>
            </w:tcMar>
          </w:tcPr>
          <w:p>
            <w:r>
              <w:rPr>
                <w:b/>
                <w:bCs/>
                <w:sz w:val="20"/>
                <w:szCs w:val="20"/>
              </w:rPr>
              <w:t xml:space="preserve">Output Individu</w:t>
            </w:r>
          </w:p>
        </w:tc>
        <w:tc>
          <w:tcPr>
            <w:tcW w:type="dxa" w:w="7077"/>
            <w:tcMar>
              <w:top w:type="dxa" w:w="40"/>
              <w:left w:type="dxa" w:w="0"/>
              <w:bottom w:type="dxa" w:w="40"/>
              <w:right w:type="dxa" w:w="0"/>
            </w:tcMar>
          </w:tcPr>
          <w:p>
            <w:r>
              <w:rPr>
                <w:sz w:val="20"/>
                <w:szCs w:val="20"/>
              </w:rPr>
              <w:t xml:space="preserve">: Catatan Opsi Arsitektur Awal (untuk masukan draft SRS)</w:t>
            </w:r>
          </w:p>
        </w:tc>
      </w:tr>
    </w:tbl>
    <w:p>
      <w:pPr>
        <w:pBdr>
          <w:bottom w:val="single" w:color="1F3864" w:sz="8"/>
        </w:pBdr>
        <w:spacing w:after="200" w:before="120"/>
      </w:pPr>
    </w:p>
    <w:p>
      <w:pPr>
        <w:pStyle w:val="Heading1"/>
        <w:spacing w:after="140" w:before="280"/>
      </w:pPr>
      <w:r>
        <w:rPr>
          <w:b/>
          <w:bCs/>
          <w:color w:val="1F3864"/>
        </w:rPr>
        <w:t xml:space="preserve">1. Konteks &amp; Tujuan</w:t>
      </w:r>
    </w:p>
    <w:p>
      <w:pPr>
        <w:spacing w:after="160" w:line="276"/>
        <w:jc w:val="both"/>
      </w:pPr>
      <w:r>
        <w:t xml:space="preserve">Dokumen ini berisi identifikasi kebutuhan teknis tingkat tinggi berupa kandidat arsitektur sistem EventKu, sebagai masukan bagi draft Software Requirements Specification (SRS) yang disusun oleh Project Manager pada Minggu 2. Keputusan akhir arsitektur secara rinci (class diagram, pola komunikasi antar modul) baru akan dituntaskan pada Minggu 6, sehingga catatan ini bersifat opsi awal beserta rekomendasi arah yang akan dipakai sebagai dasar diskusi tim.</w:t>
      </w:r>
    </w:p>
    <w:p>
      <w:pPr>
        <w:pStyle w:val="Heading1"/>
        <w:spacing w:after="140" w:before="280"/>
      </w:pPr>
      <w:r>
        <w:rPr>
          <w:b/>
          <w:bCs/>
          <w:color w:val="1F3864"/>
        </w:rPr>
        <w:t xml:space="preserve">2. Kriteria Evaluasi</w:t>
      </w:r>
    </w:p>
    <w:p>
      <w:pPr>
        <w:spacing w:after="160" w:line="276"/>
        <w:jc w:val="both"/>
      </w:pPr>
      <w:r>
        <w:t xml:space="preserve">Pemilihan kandidat arsitektur mempertimbangkan batasan nyata proyek sebagai berikut:</w:t>
      </w:r>
    </w:p>
    <w:p>
      <w:pPr>
        <w:pStyle w:val="ListParagraph"/>
        <w:numPr>
          <w:ilvl w:val="0"/>
          <w:numId w:val="1"/>
        </w:numPr>
        <w:spacing w:after="80"/>
        <w:jc w:val="both"/>
      </w:pPr>
      <w:r>
        <w:rPr>
          <w:b/>
          <w:bCs/>
        </w:rPr>
        <w:t xml:space="preserve">Durasi proyek</w:t>
      </w:r>
      <w:r>
        <w:t xml:space="preserve">: satu semester (16 minggu), dengan tiga sprint pengembangan aktif (Minggu 9–13) sehingga waktu implementasi terbatas.</w:t>
      </w:r>
    </w:p>
    <w:p>
      <w:pPr>
        <w:pStyle w:val="ListParagraph"/>
        <w:numPr>
          <w:ilvl w:val="0"/>
          <w:numId w:val="1"/>
        </w:numPr>
        <w:spacing w:after="80"/>
        <w:jc w:val="both"/>
      </w:pPr>
      <w:r>
        <w:rPr>
          <w:b/>
          <w:bCs/>
        </w:rPr>
        <w:t xml:space="preserve">Ukuran tim</w:t>
      </w:r>
      <w:r>
        <w:t xml:space="preserve">: empat anggota dengan peran terspesialisasi (PM/BA, System Architect/Frontend, Backend/UI-UX, QA/DevOps) — bukan tim backend besar yang mampu mengelola banyak layanan terpisah.</w:t>
      </w:r>
    </w:p>
    <w:p>
      <w:pPr>
        <w:pStyle w:val="ListParagraph"/>
        <w:numPr>
          <w:ilvl w:val="0"/>
          <w:numId w:val="1"/>
        </w:numPr>
        <w:spacing w:after="80"/>
        <w:jc w:val="both"/>
      </w:pPr>
      <w:r>
        <w:rPr>
          <w:b/>
          <w:bCs/>
        </w:rPr>
        <w:t xml:space="preserve">Tumpukan teknologi yang telah ditetapkan RPS</w:t>
      </w:r>
      <w:r>
        <w:t xml:space="preserve">: React.js + Tailwind CSS (frontend), Node.js/Laravel (backend), MySQL/PostgreSQL (basis data), Postman &amp; Jest (pengujian), serta deployment ke layanan cloud sederhana (Railway/Render) atau VPS tunggal.</w:t>
      </w:r>
    </w:p>
    <w:p>
      <w:pPr>
        <w:pStyle w:val="ListParagraph"/>
        <w:numPr>
          <w:ilvl w:val="0"/>
          <w:numId w:val="1"/>
        </w:numPr>
        <w:spacing w:after="80"/>
        <w:jc w:val="both"/>
      </w:pPr>
      <w:r>
        <w:rPr>
          <w:b/>
          <w:bCs/>
        </w:rPr>
        <w:t xml:space="preserve">Kebutuhan modularitas</w:t>
      </w:r>
      <w:r>
        <w:t xml:space="preserve">: sistem memiliki empat modul fungsional yang cukup jelas batasnya (Auth, Event, Pendaftaran/RSVP, Notifikasi) sehingga struktur kode perlu mendukung pemisahan tanggung jawab meskipun tidak harus berupa layanan terpisah.</w:t>
      </w:r>
    </w:p>
    <w:p>
      <w:pPr>
        <w:pStyle w:val="ListParagraph"/>
        <w:numPr>
          <w:ilvl w:val="0"/>
          <w:numId w:val="1"/>
        </w:numPr>
        <w:spacing w:after="80"/>
        <w:jc w:val="both"/>
      </w:pPr>
      <w:r>
        <w:rPr>
          <w:b/>
          <w:bCs/>
        </w:rPr>
        <w:t xml:space="preserve">Kemudahan deployment &amp; pengujian</w:t>
      </w:r>
      <w:r>
        <w:t xml:space="preserve">: mengingat QA/DevOps hanya ditangani satu orang, kompleksitas operasional (jumlah service yang harus di-deploy, dipantau, dan diuji terintegrasi) perlu ditekan seminimal mungkin.</w:t>
      </w:r>
    </w:p>
    <w:p>
      <w:pPr>
        <w:pStyle w:val="Heading1"/>
        <w:spacing w:after="140" w:before="280"/>
      </w:pPr>
      <w:r>
        <w:rPr>
          <w:b/>
          <w:bCs/>
          <w:color w:val="1F3864"/>
        </w:rPr>
        <w:t xml:space="preserve">3. Opsi Arsitektur</w:t>
      </w:r>
    </w:p>
    <w:p>
      <w:pPr>
        <w:pStyle w:val="Heading2"/>
        <w:spacing w:after="140" w:before="280"/>
      </w:pPr>
      <w:r>
        <w:rPr>
          <w:b/>
          <w:bCs/>
          <w:color w:val="1F3864"/>
        </w:rPr>
        <w:t xml:space="preserve">3.1 Opsi A – Monolithic Architecture (Tanpa Pemisahan Modul Tegas)</w:t>
      </w:r>
    </w:p>
    <w:p>
      <w:pPr>
        <w:spacing w:after="160" w:line="276"/>
        <w:jc w:val="both"/>
      </w:pPr>
      <w:r>
        <w:t xml:space="preserve">Seluruh logika aplikasi (autentikasi, event, pendaftaran, notifikasi) ditulis dalam satu basis kode backend tanpa batasan modul yang tegas, dengan satu basis data bersama.</w:t>
      </w:r>
    </w:p>
    <w:p>
      <w:pPr>
        <w:spacing w:after="160" w:line="276"/>
        <w:jc w:val="both"/>
      </w:pPr>
      <w:r>
        <w:rPr>
          <w:i/>
          <w:iCs/>
        </w:rPr>
        <w:t xml:space="preserve">Kelebihan</w:t>
      </w:r>
      <w:r>
        <w:t xml:space="preserve">: paling sederhana untuk disiapkan dan di-deploy (satu proses, satu repository, satu pipeline), overhead desain minimal sehingga cocok untuk tim kecil dengan waktu terbatas. </w:t>
      </w:r>
      <w:r>
        <w:rPr>
          <w:i/>
          <w:iCs/>
        </w:rPr>
        <w:t xml:space="preserve">Kekurangan</w:t>
      </w:r>
      <w:r>
        <w:t xml:space="preserve">: tanpa disiplin pemisahan modul, kode cenderung menjadi </w:t>
      </w:r>
      <w:r>
        <w:rPr>
          <w:i/>
          <w:iCs/>
        </w:rPr>
        <w:t xml:space="preserve">tightly coupled</w:t>
      </w:r>
      <w:r>
        <w:t xml:space="preserve"> seiring bertambahnya fitur pada Sprint 2–3, menyulitkan pembagian kerja paralel antar anggota dan mempersulit pengujian unit per modul.</w:t>
      </w:r>
    </w:p>
    <w:p>
      <w:pPr>
        <w:pStyle w:val="Heading2"/>
        <w:spacing w:after="140" w:before="280"/>
      </w:pPr>
      <w:r>
        <w:rPr>
          <w:b/>
          <w:bCs/>
          <w:color w:val="1F3864"/>
        </w:rPr>
        <w:t xml:space="preserve">3.2 Opsi B – Modular API (Modular Monolith)</w:t>
      </w:r>
    </w:p>
    <w:p>
      <w:pPr>
        <w:spacing w:after="160" w:line="276"/>
        <w:jc w:val="both"/>
      </w:pPr>
      <w:r>
        <w:t xml:space="preserve">Backend tetap berupa satu aplikasi yang dapat di-deploy sebagai satu unit, namun kode disusun ke dalam modul-modul terpisah secara logis (Auth, Event, Pendaftaran/RSVP, Notifikasi), masing-masing dengan lapisan route/controller, service, dan akses data (repository) sendiri, serta kontrak API (endpoint REST) yang jelas antar modul dan terhadap frontend.</w:t>
      </w:r>
    </w:p>
    <w:p>
      <w:pPr>
        <w:spacing w:after="160" w:line="276"/>
        <w:jc w:val="both"/>
      </w:pPr>
      <w:r>
        <w:rPr>
          <w:i/>
          <w:iCs/>
        </w:rPr>
        <w:t xml:space="preserve">Kelebihan</w:t>
      </w:r>
      <w:r>
        <w:t xml:space="preserve">: menjaga kemudahan operasional layaknya monolith (satu deployment, satu basis data di tahap MVP) sambil tetap memberi batasan tanggung jawab yang jelas antar modul — memudahkan kerja paralel (mis. Backend/UI-UX fokus modul Auth &amp; Event, sementara Frontend mengonsumsi kontrak API yang sama), memudahkan pengujian unit per modul dengan Jest, serta membuka opsi untuk mengekstraksi modul tertentu (mis. Notifikasi) menjadi layanan terpisah pada pengembangan lanjutan jika diperlukan. </w:t>
      </w:r>
      <w:r>
        <w:rPr>
          <w:i/>
          <w:iCs/>
        </w:rPr>
        <w:t xml:space="preserve">Kekurangan</w:t>
      </w:r>
      <w:r>
        <w:t xml:space="preserve">: memerlukan disiplin desain di awal (definisi kontrak API &amp; struktur folder modul) yang sedikit menambah waktu perencanaan pada Minggu 6–7 dibanding Opsi A.</w:t>
      </w:r>
    </w:p>
    <w:p>
      <w:pPr>
        <w:pStyle w:val="Heading2"/>
        <w:spacing w:after="140" w:before="280"/>
      </w:pPr>
      <w:r>
        <w:rPr>
          <w:b/>
          <w:bCs/>
          <w:color w:val="1F3864"/>
        </w:rPr>
        <w:t xml:space="preserve">3.3 Opsi C – Microservices Penuh</w:t>
      </w:r>
    </w:p>
    <w:p>
      <w:pPr>
        <w:spacing w:after="160" w:line="276"/>
        <w:jc w:val="both"/>
      </w:pPr>
      <w:r>
        <w:t xml:space="preserve">Setiap modul (Auth, Event, Pendaftaran, Notifikasi) berjalan sebagai layanan terpisah dengan basis data dan proses deployment masing-masing.</w:t>
      </w:r>
    </w:p>
    <w:p>
      <w:pPr>
        <w:spacing w:after="160" w:line="276"/>
        <w:jc w:val="both"/>
      </w:pPr>
      <w:r>
        <w:rPr>
          <w:i/>
          <w:iCs/>
        </w:rPr>
        <w:t xml:space="preserve">Kelebihan</w:t>
      </w:r>
      <w:r>
        <w:t xml:space="preserve">: skalabilitas dan isolasi kegagalan paling baik secara teori. </w:t>
      </w:r>
      <w:r>
        <w:rPr>
          <w:i/>
          <w:iCs/>
        </w:rPr>
        <w:t xml:space="preserve">Kekurangan</w:t>
      </w:r>
      <w:r>
        <w:t xml:space="preserve">: kompleksitas operasional (orkestrasi, komunikasi antar layanan, banyak pipeline deployment) jauh melebihi kapasitas tim beranggotakan empat orang dan QA/DevOps tunggal dalam waktu 16 minggu. Opsi ini </w:t>
      </w:r>
      <w:r>
        <w:rPr>
          <w:b/>
          <w:bCs/>
        </w:rPr>
        <w:t xml:space="preserve">tidak direkomendasikan</w:t>
      </w:r>
      <w:r>
        <w:t xml:space="preserve"> untuk MVP semester ini.</w:t>
      </w:r>
    </w:p>
    <w:p>
      <w:pPr>
        <w:pStyle w:val="Heading1"/>
        <w:spacing w:after="140" w:before="280"/>
      </w:pPr>
      <w:r>
        <w:rPr>
          <w:b/>
          <w:bCs/>
          <w:color w:val="1F3864"/>
        </w:rPr>
        <w:t xml:space="preserve">4. Tabel Perbandingan</w:t>
      </w:r>
    </w:p>
    <w:tbl>
      <w:tblPr>
        <w:tblW w:type="dxa" w:w="9073"/>
        <w:tblBorders>
          <w:top w:val="single" w:color="1F3864" w:sz="4"/>
          <w:left w:val="none" w:color="FFFFFF" w:sz="0"/>
          <w:bottom w:val="single" w:color="1F3864" w:sz="4"/>
          <w:right w:val="none" w:color="FFFFFF" w:sz="0"/>
          <w:insideH w:val="single" w:color="AAAAAA" w:sz="2"/>
          <w:insideV w:val="none" w:color="FFFFFF" w:sz="0"/>
        </w:tblBorders>
      </w:tblPr>
      <w:tblGrid>
        <w:gridCol w:w="2177"/>
        <w:gridCol w:w="2177"/>
        <w:gridCol w:w="2540"/>
        <w:gridCol w:w="2179"/>
      </w:tblGrid>
      <w:tr>
        <w:trPr>
          <w:tblHeader/>
        </w:trPr>
        <w:tc>
          <w:tcPr>
            <w:tcW w:type="dxa" w:w="2177"/>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Kriteria</w:t>
            </w:r>
          </w:p>
        </w:tc>
        <w:tc>
          <w:tcPr>
            <w:tcW w:type="dxa" w:w="2177"/>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A. Monolith</w:t>
            </w:r>
          </w:p>
        </w:tc>
        <w:tc>
          <w:tcPr>
            <w:tcW w:type="dxa" w:w="2540"/>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B. Modular API (Modular Monolith)</w:t>
            </w:r>
          </w:p>
        </w:tc>
        <w:tc>
          <w:tcPr>
            <w:tcW w:type="dxa" w:w="2179"/>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C. Microservices</w:t>
            </w:r>
          </w:p>
        </w:tc>
      </w:tr>
      <w:tr>
        <w:tc>
          <w:tcPr>
            <w:tcW w:type="dxa" w:w="2177"/>
            <w:tcMar>
              <w:top w:type="dxa" w:w="80"/>
              <w:left w:type="dxa" w:w="100"/>
              <w:bottom w:type="dxa" w:w="80"/>
              <w:right w:type="dxa" w:w="100"/>
            </w:tcMar>
          </w:tcPr>
          <w:p>
            <w:pPr>
              <w:spacing w:line="264"/>
              <w:jc w:val="both"/>
            </w:pPr>
            <w:r>
              <w:rPr>
                <w:sz w:val="19"/>
                <w:szCs w:val="19"/>
              </w:rPr>
              <w:t xml:space="preserve">Kecepatan setup awal</w:t>
            </w:r>
          </w:p>
        </w:tc>
        <w:tc>
          <w:tcPr>
            <w:tcW w:type="dxa" w:w="2177"/>
            <w:tcMar>
              <w:top w:type="dxa" w:w="80"/>
              <w:left w:type="dxa" w:w="100"/>
              <w:bottom w:type="dxa" w:w="80"/>
              <w:right w:type="dxa" w:w="100"/>
            </w:tcMar>
          </w:tcPr>
          <w:p>
            <w:pPr>
              <w:spacing w:line="264"/>
              <w:jc w:val="both"/>
            </w:pPr>
            <w:r>
              <w:rPr>
                <w:sz w:val="19"/>
                <w:szCs w:val="19"/>
              </w:rPr>
              <w:t xml:space="preserve">Sangat cepat</w:t>
            </w:r>
          </w:p>
        </w:tc>
        <w:tc>
          <w:tcPr>
            <w:tcW w:type="dxa" w:w="2540"/>
            <w:tcMar>
              <w:top w:type="dxa" w:w="80"/>
              <w:left w:type="dxa" w:w="100"/>
              <w:bottom w:type="dxa" w:w="80"/>
              <w:right w:type="dxa" w:w="100"/>
            </w:tcMar>
          </w:tcPr>
          <w:p>
            <w:pPr>
              <w:spacing w:line="264"/>
              <w:jc w:val="both"/>
            </w:pPr>
            <w:r>
              <w:rPr>
                <w:sz w:val="19"/>
                <w:szCs w:val="19"/>
              </w:rPr>
              <w:t xml:space="preserve">Cepat, sedikit perencanaan tambahan</w:t>
            </w:r>
          </w:p>
        </w:tc>
        <w:tc>
          <w:tcPr>
            <w:tcW w:type="dxa" w:w="2179"/>
            <w:tcMar>
              <w:top w:type="dxa" w:w="80"/>
              <w:left w:type="dxa" w:w="100"/>
              <w:bottom w:type="dxa" w:w="80"/>
              <w:right w:type="dxa" w:w="100"/>
            </w:tcMar>
          </w:tcPr>
          <w:p>
            <w:pPr>
              <w:spacing w:line="264"/>
              <w:jc w:val="both"/>
            </w:pPr>
            <w:r>
              <w:rPr>
                <w:sz w:val="19"/>
                <w:szCs w:val="19"/>
              </w:rPr>
              <w:t xml:space="preserve">Lambat</w:t>
            </w:r>
          </w:p>
        </w:tc>
      </w:tr>
      <w:tr>
        <w:tc>
          <w:tcPr>
            <w:tcW w:type="dxa" w:w="2177"/>
            <w:tcMar>
              <w:top w:type="dxa" w:w="80"/>
              <w:left w:type="dxa" w:w="100"/>
              <w:bottom w:type="dxa" w:w="80"/>
              <w:right w:type="dxa" w:w="100"/>
            </w:tcMar>
          </w:tcPr>
          <w:p>
            <w:pPr>
              <w:spacing w:line="264"/>
              <w:jc w:val="both"/>
            </w:pPr>
            <w:r>
              <w:rPr>
                <w:sz w:val="19"/>
                <w:szCs w:val="19"/>
              </w:rPr>
              <w:t xml:space="preserve">Kompleksitas deployment</w:t>
            </w:r>
          </w:p>
        </w:tc>
        <w:tc>
          <w:tcPr>
            <w:tcW w:type="dxa" w:w="2177"/>
            <w:tcMar>
              <w:top w:type="dxa" w:w="80"/>
              <w:left w:type="dxa" w:w="100"/>
              <w:bottom w:type="dxa" w:w="80"/>
              <w:right w:type="dxa" w:w="100"/>
            </w:tcMar>
          </w:tcPr>
          <w:p>
            <w:pPr>
              <w:spacing w:line="264"/>
              <w:jc w:val="both"/>
            </w:pPr>
            <w:r>
              <w:rPr>
                <w:sz w:val="19"/>
                <w:szCs w:val="19"/>
              </w:rPr>
              <w:t xml:space="preserve">Rendah (1 unit)</w:t>
            </w:r>
          </w:p>
        </w:tc>
        <w:tc>
          <w:tcPr>
            <w:tcW w:type="dxa" w:w="2540"/>
            <w:tcMar>
              <w:top w:type="dxa" w:w="80"/>
              <w:left w:type="dxa" w:w="100"/>
              <w:bottom w:type="dxa" w:w="80"/>
              <w:right w:type="dxa" w:w="100"/>
            </w:tcMar>
          </w:tcPr>
          <w:p>
            <w:pPr>
              <w:spacing w:line="264"/>
              <w:jc w:val="both"/>
            </w:pPr>
            <w:r>
              <w:rPr>
                <w:sz w:val="19"/>
                <w:szCs w:val="19"/>
              </w:rPr>
              <w:t xml:space="preserve">Rendah (1 unit)</w:t>
            </w:r>
          </w:p>
        </w:tc>
        <w:tc>
          <w:tcPr>
            <w:tcW w:type="dxa" w:w="2179"/>
            <w:tcMar>
              <w:top w:type="dxa" w:w="80"/>
              <w:left w:type="dxa" w:w="100"/>
              <w:bottom w:type="dxa" w:w="80"/>
              <w:right w:type="dxa" w:w="100"/>
            </w:tcMar>
          </w:tcPr>
          <w:p>
            <w:pPr>
              <w:spacing w:line="264"/>
              <w:jc w:val="both"/>
            </w:pPr>
            <w:r>
              <w:rPr>
                <w:sz w:val="19"/>
                <w:szCs w:val="19"/>
              </w:rPr>
              <w:t xml:space="preserve">Tinggi (banyak service)</w:t>
            </w:r>
          </w:p>
        </w:tc>
      </w:tr>
      <w:tr>
        <w:tc>
          <w:tcPr>
            <w:tcW w:type="dxa" w:w="2177"/>
            <w:tcMar>
              <w:top w:type="dxa" w:w="80"/>
              <w:left w:type="dxa" w:w="100"/>
              <w:bottom w:type="dxa" w:w="80"/>
              <w:right w:type="dxa" w:w="100"/>
            </w:tcMar>
          </w:tcPr>
          <w:p>
            <w:pPr>
              <w:spacing w:line="264"/>
              <w:jc w:val="both"/>
            </w:pPr>
            <w:r>
              <w:rPr>
                <w:sz w:val="19"/>
                <w:szCs w:val="19"/>
              </w:rPr>
              <w:t xml:space="preserve">Kemudahan kerja paralel tim</w:t>
            </w:r>
          </w:p>
        </w:tc>
        <w:tc>
          <w:tcPr>
            <w:tcW w:type="dxa" w:w="2177"/>
            <w:tcMar>
              <w:top w:type="dxa" w:w="80"/>
              <w:left w:type="dxa" w:w="100"/>
              <w:bottom w:type="dxa" w:w="80"/>
              <w:right w:type="dxa" w:w="100"/>
            </w:tcMar>
          </w:tcPr>
          <w:p>
            <w:pPr>
              <w:spacing w:line="264"/>
              <w:jc w:val="both"/>
            </w:pPr>
            <w:r>
              <w:rPr>
                <w:sz w:val="19"/>
                <w:szCs w:val="19"/>
              </w:rPr>
              <w:t xml:space="preserve">Rendah, rawan konflik kode</w:t>
            </w:r>
          </w:p>
        </w:tc>
        <w:tc>
          <w:tcPr>
            <w:tcW w:type="dxa" w:w="2540"/>
            <w:tcMar>
              <w:top w:type="dxa" w:w="80"/>
              <w:left w:type="dxa" w:w="100"/>
              <w:bottom w:type="dxa" w:w="80"/>
              <w:right w:type="dxa" w:w="100"/>
            </w:tcMar>
          </w:tcPr>
          <w:p>
            <w:pPr>
              <w:spacing w:line="264"/>
              <w:jc w:val="both"/>
            </w:pPr>
            <w:r>
              <w:rPr>
                <w:sz w:val="19"/>
                <w:szCs w:val="19"/>
              </w:rPr>
              <w:t xml:space="preserve">Tinggi, batas modul jelas</w:t>
            </w:r>
          </w:p>
        </w:tc>
        <w:tc>
          <w:tcPr>
            <w:tcW w:type="dxa" w:w="2179"/>
            <w:tcMar>
              <w:top w:type="dxa" w:w="80"/>
              <w:left w:type="dxa" w:w="100"/>
              <w:bottom w:type="dxa" w:w="80"/>
              <w:right w:type="dxa" w:w="100"/>
            </w:tcMar>
          </w:tcPr>
          <w:p>
            <w:pPr>
              <w:spacing w:line="264"/>
              <w:jc w:val="both"/>
            </w:pPr>
            <w:r>
              <w:rPr>
                <w:sz w:val="19"/>
                <w:szCs w:val="19"/>
              </w:rPr>
              <w:t xml:space="preserve">Tinggi, tapi butuh koordinasi antar service</w:t>
            </w:r>
          </w:p>
        </w:tc>
      </w:tr>
      <w:tr>
        <w:tc>
          <w:tcPr>
            <w:tcW w:type="dxa" w:w="2177"/>
            <w:tcMar>
              <w:top w:type="dxa" w:w="80"/>
              <w:left w:type="dxa" w:w="100"/>
              <w:bottom w:type="dxa" w:w="80"/>
              <w:right w:type="dxa" w:w="100"/>
            </w:tcMar>
          </w:tcPr>
          <w:p>
            <w:pPr>
              <w:spacing w:line="264"/>
              <w:jc w:val="both"/>
            </w:pPr>
            <w:r>
              <w:rPr>
                <w:sz w:val="19"/>
                <w:szCs w:val="19"/>
              </w:rPr>
              <w:t xml:space="preserve">Kemudahan unit test per modul</w:t>
            </w:r>
          </w:p>
        </w:tc>
        <w:tc>
          <w:tcPr>
            <w:tcW w:type="dxa" w:w="2177"/>
            <w:tcMar>
              <w:top w:type="dxa" w:w="80"/>
              <w:left w:type="dxa" w:w="100"/>
              <w:bottom w:type="dxa" w:w="80"/>
              <w:right w:type="dxa" w:w="100"/>
            </w:tcMar>
          </w:tcPr>
          <w:p>
            <w:pPr>
              <w:spacing w:line="264"/>
              <w:jc w:val="both"/>
            </w:pPr>
            <w:r>
              <w:rPr>
                <w:sz w:val="19"/>
                <w:szCs w:val="19"/>
              </w:rPr>
              <w:t xml:space="preserve">Rendah</w:t>
            </w:r>
          </w:p>
        </w:tc>
        <w:tc>
          <w:tcPr>
            <w:tcW w:type="dxa" w:w="2540"/>
            <w:tcMar>
              <w:top w:type="dxa" w:w="80"/>
              <w:left w:type="dxa" w:w="100"/>
              <w:bottom w:type="dxa" w:w="80"/>
              <w:right w:type="dxa" w:w="100"/>
            </w:tcMar>
          </w:tcPr>
          <w:p>
            <w:pPr>
              <w:spacing w:line="264"/>
              <w:jc w:val="both"/>
            </w:pPr>
            <w:r>
              <w:rPr>
                <w:sz w:val="19"/>
                <w:szCs w:val="19"/>
              </w:rPr>
              <w:t xml:space="preserve">Tinggi</w:t>
            </w:r>
          </w:p>
        </w:tc>
        <w:tc>
          <w:tcPr>
            <w:tcW w:type="dxa" w:w="2179"/>
            <w:tcMar>
              <w:top w:type="dxa" w:w="80"/>
              <w:left w:type="dxa" w:w="100"/>
              <w:bottom w:type="dxa" w:w="80"/>
              <w:right w:type="dxa" w:w="100"/>
            </w:tcMar>
          </w:tcPr>
          <w:p>
            <w:pPr>
              <w:spacing w:line="264"/>
              <w:jc w:val="both"/>
            </w:pPr>
            <w:r>
              <w:rPr>
                <w:sz w:val="19"/>
                <w:szCs w:val="19"/>
              </w:rPr>
              <w:t xml:space="preserve">Tinggi</w:t>
            </w:r>
          </w:p>
        </w:tc>
      </w:tr>
      <w:tr>
        <w:tc>
          <w:tcPr>
            <w:tcW w:type="dxa" w:w="2177"/>
            <w:tcMar>
              <w:top w:type="dxa" w:w="80"/>
              <w:left w:type="dxa" w:w="100"/>
              <w:bottom w:type="dxa" w:w="80"/>
              <w:right w:type="dxa" w:w="100"/>
            </w:tcMar>
          </w:tcPr>
          <w:p>
            <w:pPr>
              <w:spacing w:line="264"/>
              <w:jc w:val="both"/>
            </w:pPr>
            <w:r>
              <w:rPr>
                <w:sz w:val="19"/>
                <w:szCs w:val="19"/>
              </w:rPr>
              <w:t xml:space="preserve">Kesesuaian dengan ukuran tim (4 orang)</w:t>
            </w:r>
          </w:p>
        </w:tc>
        <w:tc>
          <w:tcPr>
            <w:tcW w:type="dxa" w:w="2177"/>
            <w:tcMar>
              <w:top w:type="dxa" w:w="80"/>
              <w:left w:type="dxa" w:w="100"/>
              <w:bottom w:type="dxa" w:w="80"/>
              <w:right w:type="dxa" w:w="100"/>
            </w:tcMar>
          </w:tcPr>
          <w:p>
            <w:pPr>
              <w:spacing w:line="264"/>
              <w:jc w:val="both"/>
            </w:pPr>
            <w:r>
              <w:rPr>
                <w:sz w:val="19"/>
                <w:szCs w:val="19"/>
              </w:rPr>
              <w:t xml:space="preserve">Sesuai</w:t>
            </w:r>
          </w:p>
        </w:tc>
        <w:tc>
          <w:tcPr>
            <w:tcW w:type="dxa" w:w="2540"/>
            <w:tcMar>
              <w:top w:type="dxa" w:w="80"/>
              <w:left w:type="dxa" w:w="100"/>
              <w:bottom w:type="dxa" w:w="80"/>
              <w:right w:type="dxa" w:w="100"/>
            </w:tcMar>
          </w:tcPr>
          <w:p>
            <w:pPr>
              <w:spacing w:line="264"/>
              <w:jc w:val="both"/>
            </w:pPr>
            <w:r>
              <w:rPr>
                <w:sz w:val="19"/>
                <w:szCs w:val="19"/>
              </w:rPr>
              <w:t xml:space="preserve">Paling sesuai</w:t>
            </w:r>
          </w:p>
        </w:tc>
        <w:tc>
          <w:tcPr>
            <w:tcW w:type="dxa" w:w="2179"/>
            <w:tcMar>
              <w:top w:type="dxa" w:w="80"/>
              <w:left w:type="dxa" w:w="100"/>
              <w:bottom w:type="dxa" w:w="80"/>
              <w:right w:type="dxa" w:w="100"/>
            </w:tcMar>
          </w:tcPr>
          <w:p>
            <w:pPr>
              <w:spacing w:line="264"/>
              <w:jc w:val="both"/>
            </w:pPr>
            <w:r>
              <w:rPr>
                <w:sz w:val="19"/>
                <w:szCs w:val="19"/>
              </w:rPr>
              <w:t xml:space="preserve">Tidak sesuai</w:t>
            </w:r>
          </w:p>
        </w:tc>
      </w:tr>
      <w:tr>
        <w:tc>
          <w:tcPr>
            <w:tcW w:type="dxa" w:w="2177"/>
            <w:tcMar>
              <w:top w:type="dxa" w:w="80"/>
              <w:left w:type="dxa" w:w="100"/>
              <w:bottom w:type="dxa" w:w="80"/>
              <w:right w:type="dxa" w:w="100"/>
            </w:tcMar>
          </w:tcPr>
          <w:p>
            <w:pPr>
              <w:spacing w:line="264"/>
              <w:jc w:val="both"/>
            </w:pPr>
            <w:r>
              <w:rPr>
                <w:sz w:val="19"/>
                <w:szCs w:val="19"/>
              </w:rPr>
              <w:t xml:space="preserve">Kesesuaian dengan waktu (16 minggu)</w:t>
            </w:r>
          </w:p>
        </w:tc>
        <w:tc>
          <w:tcPr>
            <w:tcW w:type="dxa" w:w="2177"/>
            <w:tcMar>
              <w:top w:type="dxa" w:w="80"/>
              <w:left w:type="dxa" w:w="100"/>
              <w:bottom w:type="dxa" w:w="80"/>
              <w:right w:type="dxa" w:w="100"/>
            </w:tcMar>
          </w:tcPr>
          <w:p>
            <w:pPr>
              <w:spacing w:line="264"/>
              <w:jc w:val="both"/>
            </w:pPr>
            <w:r>
              <w:rPr>
                <w:sz w:val="19"/>
                <w:szCs w:val="19"/>
              </w:rPr>
              <w:t xml:space="preserve">Sesuai</w:t>
            </w:r>
          </w:p>
        </w:tc>
        <w:tc>
          <w:tcPr>
            <w:tcW w:type="dxa" w:w="2540"/>
            <w:tcMar>
              <w:top w:type="dxa" w:w="80"/>
              <w:left w:type="dxa" w:w="100"/>
              <w:bottom w:type="dxa" w:w="80"/>
              <w:right w:type="dxa" w:w="100"/>
            </w:tcMar>
          </w:tcPr>
          <w:p>
            <w:pPr>
              <w:spacing w:line="264"/>
              <w:jc w:val="both"/>
            </w:pPr>
            <w:r>
              <w:rPr>
                <w:sz w:val="19"/>
                <w:szCs w:val="19"/>
              </w:rPr>
              <w:t xml:space="preserve">Paling sesuai</w:t>
            </w:r>
          </w:p>
        </w:tc>
        <w:tc>
          <w:tcPr>
            <w:tcW w:type="dxa" w:w="2179"/>
            <w:tcMar>
              <w:top w:type="dxa" w:w="80"/>
              <w:left w:type="dxa" w:w="100"/>
              <w:bottom w:type="dxa" w:w="80"/>
              <w:right w:type="dxa" w:w="100"/>
            </w:tcMar>
          </w:tcPr>
          <w:p>
            <w:pPr>
              <w:spacing w:line="264"/>
              <w:jc w:val="both"/>
            </w:pPr>
            <w:r>
              <w:rPr>
                <w:sz w:val="19"/>
                <w:szCs w:val="19"/>
              </w:rPr>
              <w:t xml:space="preserve">Tidak realistis</w:t>
            </w:r>
          </w:p>
        </w:tc>
      </w:tr>
      <w:tr>
        <w:tc>
          <w:tcPr>
            <w:tcW w:type="dxa" w:w="2177"/>
            <w:tcMar>
              <w:top w:type="dxa" w:w="80"/>
              <w:left w:type="dxa" w:w="100"/>
              <w:bottom w:type="dxa" w:w="80"/>
              <w:right w:type="dxa" w:w="100"/>
            </w:tcMar>
          </w:tcPr>
          <w:p>
            <w:pPr>
              <w:spacing w:line="264"/>
              <w:jc w:val="both"/>
            </w:pPr>
            <w:r>
              <w:rPr>
                <w:sz w:val="19"/>
                <w:szCs w:val="19"/>
              </w:rPr>
              <w:t xml:space="preserve">Peluang ekstraksi ke service terpisah nanti</w:t>
            </w:r>
          </w:p>
        </w:tc>
        <w:tc>
          <w:tcPr>
            <w:tcW w:type="dxa" w:w="2177"/>
            <w:tcMar>
              <w:top w:type="dxa" w:w="80"/>
              <w:left w:type="dxa" w:w="100"/>
              <w:bottom w:type="dxa" w:w="80"/>
              <w:right w:type="dxa" w:w="100"/>
            </w:tcMar>
          </w:tcPr>
          <w:p>
            <w:pPr>
              <w:spacing w:line="264"/>
              <w:jc w:val="both"/>
            </w:pPr>
            <w:r>
              <w:rPr>
                <w:sz w:val="19"/>
                <w:szCs w:val="19"/>
              </w:rPr>
              <w:t xml:space="preserve">Sulit</w:t>
            </w:r>
          </w:p>
        </w:tc>
        <w:tc>
          <w:tcPr>
            <w:tcW w:type="dxa" w:w="2540"/>
            <w:tcMar>
              <w:top w:type="dxa" w:w="80"/>
              <w:left w:type="dxa" w:w="100"/>
              <w:bottom w:type="dxa" w:w="80"/>
              <w:right w:type="dxa" w:w="100"/>
            </w:tcMar>
          </w:tcPr>
          <w:p>
            <w:pPr>
              <w:spacing w:line="264"/>
              <w:jc w:val="both"/>
            </w:pPr>
            <w:r>
              <w:rPr>
                <w:sz w:val="19"/>
                <w:szCs w:val="19"/>
              </w:rPr>
              <w:t xml:space="preserve">Mudah (batas modul sudah ada)</w:t>
            </w:r>
          </w:p>
        </w:tc>
        <w:tc>
          <w:tcPr>
            <w:tcW w:type="dxa" w:w="2179"/>
            <w:tcMar>
              <w:top w:type="dxa" w:w="80"/>
              <w:left w:type="dxa" w:w="100"/>
              <w:bottom w:type="dxa" w:w="80"/>
              <w:right w:type="dxa" w:w="100"/>
            </w:tcMar>
          </w:tcPr>
          <w:p>
            <w:pPr>
              <w:spacing w:line="264"/>
              <w:jc w:val="both"/>
            </w:pPr>
            <w:r>
              <w:rPr>
                <w:sz w:val="19"/>
                <w:szCs w:val="19"/>
              </w:rPr>
              <w:t xml:space="preserve">Sudah terpisah sejak awal</w:t>
            </w:r>
          </w:p>
        </w:tc>
      </w:tr>
    </w:tbl>
    <w:p>
      <w:pPr>
        <w:spacing w:after="160"/>
      </w:pPr>
    </w:p>
    <w:p>
      <w:pPr>
        <w:pStyle w:val="Heading1"/>
        <w:spacing w:after="140" w:before="280"/>
      </w:pPr>
      <w:r>
        <w:rPr>
          <w:b/>
          <w:bCs/>
          <w:color w:val="1F3864"/>
        </w:rPr>
        <w:t xml:space="preserve">5. Rekomendasi</w:t>
      </w:r>
    </w:p>
    <w:p>
      <w:pPr>
        <w:spacing w:after="160" w:line="276"/>
        <w:jc w:val="both"/>
      </w:pPr>
      <w:r>
        <w:t xml:space="preserve">Berdasarkan kriteria di atas, arsitektur yang direkomendasikan untuk EventKu adalah </w:t>
      </w:r>
      <w:r>
        <w:rPr>
          <w:b/>
          <w:bCs/>
        </w:rPr>
        <w:t xml:space="preserve">Opsi B – Modular API (Modular Monolith)</w:t>
      </w:r>
      <w:r>
        <w:t xml:space="preserve">: satu aplikasi backend yang di-deploy sebagai satu unit ke Railway/Render, namun disusun ke dalam empat modul dengan tanggung jawab jelas (Auth, Event, Pendaftaran/RSVP, Notifikasi), masing-masing mengekspos REST API sendiri dan mengakses data melalui lapisan repository. Pendekatan ini memberi keseimbangan terbaik antara kesederhanaan operasional (sesuai kapasitas tim &amp; QA/DevOps tunggal) dan kebutuhan modularitas yang akan mendukung penerapan design pattern (MVC, Repository, Observer) pada Minggu 6–7, serta pembagian kerja paralel yang lebih jelas antar anggota selama Sprint 1–3.</w:t>
      </w:r>
    </w:p>
    <w:p>
      <w:pPr>
        <w:pStyle w:val="Heading1"/>
        <w:spacing w:after="140" w:before="280"/>
      </w:pPr>
      <w:r>
        <w:rPr>
          <w:b/>
          <w:bCs/>
          <w:color w:val="1F3864"/>
        </w:rPr>
        <w:t xml:space="preserve">6. Implikasi untuk SRS</w:t>
      </w:r>
    </w:p>
    <w:p>
      <w:pPr>
        <w:spacing w:after="160" w:line="276"/>
        <w:jc w:val="both"/>
      </w:pPr>
      <w:r>
        <w:t xml:space="preserve">Masukan ini akan digunakan sebagai bagian dari draft SRS Minggu 2 untuk kebutuhan teknis tingkat tinggi, dan akan diperjelas lebih lanjut menjadi kebutuhan non-fungsional terkait modularitas dan skalabilitas pada Minggu 4, sebelum dirancang secara rinci (class diagram, kontrak API antar modul) pada Minggu 6.</w:t>
      </w:r>
    </w:p>
    <w:sectPr>
      <w:footerReference w:type="default" r:id="rId7"/>
      <w:pgSz w:w="11907" w:h="16840"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2026-09-07T08:36:01.364Z</dcterms:created>
  <dcterms:modified xsi:type="dcterms:W3CDTF">2026-09-07T08:36:01.364Z</dcterms:modified>
</cp:coreProperties>
</file>

<file path=docProps/custom.xml><?xml version="1.0" encoding="utf-8"?>
<Properties xmlns="http://schemas.openxmlformats.org/officeDocument/2006/custom-properties" xmlns:vt="http://schemas.openxmlformats.org/officeDocument/2006/docPropsVTypes"/>
</file>