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7"/>
          <w:szCs w:val="27"/>
        </w:rPr>
        <w:t xml:space="preserve">TUGAS INDIVIDU MINGGUAN — PROYEK EVENTKU</w:t>
      </w:r>
    </w:p>
    <w:p>
      <w:pPr>
        <w:spacing w:after="200"/>
        <w:jc w:val="center"/>
      </w:pPr>
      <w:r>
        <w:rPr>
          <w:i/>
          <w:iCs/>
          <w:sz w:val="23"/>
          <w:szCs w:val="23"/>
        </w:rPr>
        <w:t xml:space="preserve">Minggu 1: Fase Inisiasi Proyek &amp; Kontrak Kuliah</w:t>
      </w:r>
    </w:p>
    <w:tbl>
      <w:tblPr>
        <w:tblW w:type="dxa" w:w="9073"/>
        <w:tblBorders>
          <w:top w:val="none" w:color="FFFFFF" w:sz="0"/>
          <w:left w:val="none" w:color="FFFFFF" w:sz="0"/>
          <w:bottom w:val="none" w:color="FFFFFF" w:sz="0"/>
          <w:right w:val="none" w:color="FFFFFF" w:sz="0"/>
          <w:insideH w:val="none" w:color="FFFFFF" w:sz="0"/>
          <w:insideV w:val="none" w:color="FFFFFF" w:sz="0"/>
        </w:tblBorders>
      </w:tblPr>
      <w:tblGrid>
        <w:gridCol w:w="1996"/>
        <w:gridCol w:w="7077"/>
      </w:tblGrid>
      <w:tr>
        <w:tc>
          <w:tcPr>
            <w:tcW w:type="dxa" w:w="1996"/>
            <w:tcMar>
              <w:top w:type="dxa" w:w="40"/>
              <w:left w:type="dxa" w:w="0"/>
              <w:bottom w:type="dxa" w:w="40"/>
              <w:right w:type="dxa" w:w="60"/>
            </w:tcMar>
          </w:tcPr>
          <w:p>
            <w:r>
              <w:rPr>
                <w:b/>
                <w:bCs/>
                <w:sz w:val="20"/>
                <w:szCs w:val="20"/>
              </w:rPr>
              <w:t xml:space="preserve">Mata Kuliah</w:t>
            </w:r>
          </w:p>
        </w:tc>
        <w:tc>
          <w:tcPr>
            <w:tcW w:type="dxa" w:w="7077"/>
            <w:tcMar>
              <w:top w:type="dxa" w:w="40"/>
              <w:left w:type="dxa" w:w="0"/>
              <w:bottom w:type="dxa" w:w="40"/>
              <w:right w:type="dxa" w:w="0"/>
            </w:tcMar>
          </w:tcPr>
          <w:p>
            <w:r>
              <w:rPr>
                <w:sz w:val="20"/>
                <w:szCs w:val="20"/>
              </w:rPr>
              <w:t xml:space="preserve">: INF300 – Rekayasa Perangkat Lunak (3 sks)</w:t>
            </w:r>
          </w:p>
        </w:tc>
      </w:tr>
      <w:tr>
        <w:tc>
          <w:tcPr>
            <w:tcW w:type="dxa" w:w="1996"/>
            <w:tcMar>
              <w:top w:type="dxa" w:w="40"/>
              <w:left w:type="dxa" w:w="0"/>
              <w:bottom w:type="dxa" w:w="40"/>
              <w:right w:type="dxa" w:w="60"/>
            </w:tcMar>
          </w:tcPr>
          <w:p>
            <w:r>
              <w:rPr>
                <w:b/>
                <w:bCs/>
                <w:sz w:val="20"/>
                <w:szCs w:val="20"/>
              </w:rPr>
              <w:t xml:space="preserve">Dosen Pengampu</w:t>
            </w:r>
          </w:p>
        </w:tc>
        <w:tc>
          <w:tcPr>
            <w:tcW w:type="dxa" w:w="7077"/>
            <w:tcMar>
              <w:top w:type="dxa" w:w="40"/>
              <w:left w:type="dxa" w:w="0"/>
              <w:bottom w:type="dxa" w:w="40"/>
              <w:right w:type="dxa" w:w="0"/>
            </w:tcMar>
          </w:tcPr>
          <w:p>
            <w:r>
              <w:rPr>
                <w:sz w:val="20"/>
                <w:szCs w:val="20"/>
              </w:rPr>
              <w:t xml:space="preserve">: Ir. Drs. Peter Rhatodirdjo Angka, M.Kom., IPM., ASEAN Eng.</w:t>
            </w:r>
          </w:p>
        </w:tc>
      </w:tr>
      <w:tr>
        <w:tc>
          <w:tcPr>
            <w:tcW w:type="dxa" w:w="1996"/>
            <w:tcMar>
              <w:top w:type="dxa" w:w="40"/>
              <w:left w:type="dxa" w:w="0"/>
              <w:bottom w:type="dxa" w:w="40"/>
              <w:right w:type="dxa" w:w="60"/>
            </w:tcMar>
          </w:tcPr>
          <w:p>
            <w:r>
              <w:rPr>
                <w:b/>
                <w:bCs/>
                <w:sz w:val="20"/>
                <w:szCs w:val="20"/>
              </w:rPr>
              <w:t xml:space="preserve">Program Studi</w:t>
            </w:r>
          </w:p>
        </w:tc>
        <w:tc>
          <w:tcPr>
            <w:tcW w:type="dxa" w:w="7077"/>
            <w:tcMar>
              <w:top w:type="dxa" w:w="40"/>
              <w:left w:type="dxa" w:w="0"/>
              <w:bottom w:type="dxa" w:w="40"/>
              <w:right w:type="dxa" w:w="0"/>
            </w:tcMar>
          </w:tcPr>
          <w:p>
            <w:r>
              <w:rPr>
                <w:sz w:val="20"/>
                <w:szCs w:val="20"/>
              </w:rPr>
              <w:t xml:space="preserve">: S1 Informatika, Fakultas Teknik – UKWMS</w:t>
            </w:r>
          </w:p>
        </w:tc>
      </w:tr>
      <w:tr>
        <w:tc>
          <w:tcPr>
            <w:tcW w:type="dxa" w:w="1996"/>
            <w:tcMar>
              <w:top w:type="dxa" w:w="40"/>
              <w:left w:type="dxa" w:w="0"/>
              <w:bottom w:type="dxa" w:w="40"/>
              <w:right w:type="dxa" w:w="60"/>
            </w:tcMar>
          </w:tcPr>
          <w:p>
            <w:r>
              <w:rPr>
                <w:b/>
                <w:bCs/>
                <w:sz w:val="20"/>
                <w:szCs w:val="20"/>
              </w:rPr>
              <w:t xml:space="preserve">Semester</w:t>
            </w:r>
          </w:p>
        </w:tc>
        <w:tc>
          <w:tcPr>
            <w:tcW w:type="dxa" w:w="7077"/>
            <w:tcMar>
              <w:top w:type="dxa" w:w="40"/>
              <w:left w:type="dxa" w:w="0"/>
              <w:bottom w:type="dxa" w:w="40"/>
              <w:right w:type="dxa" w:w="0"/>
            </w:tcMar>
          </w:tcPr>
          <w:p>
            <w:r>
              <w:rPr>
                <w:sz w:val="20"/>
                <w:szCs w:val="20"/>
              </w:rPr>
              <w:t xml:space="preserve">: Gasal 2026/2027</w:t>
            </w:r>
          </w:p>
        </w:tc>
      </w:tr>
      <w:tr>
        <w:tc>
          <w:tcPr>
            <w:tcW w:type="dxa" w:w="1996"/>
            <w:tcMar>
              <w:top w:type="dxa" w:w="40"/>
              <w:left w:type="dxa" w:w="0"/>
              <w:bottom w:type="dxa" w:w="40"/>
              <w:right w:type="dxa" w:w="60"/>
            </w:tcMar>
          </w:tcPr>
          <w:p>
            <w:r>
              <w:rPr>
                <w:b/>
                <w:bCs/>
                <w:sz w:val="20"/>
                <w:szCs w:val="20"/>
              </w:rPr>
              <w:t xml:space="preserve">Kelompok</w:t>
            </w:r>
          </w:p>
        </w:tc>
        <w:tc>
          <w:tcPr>
            <w:tcW w:type="dxa" w:w="7077"/>
            <w:tcMar>
              <w:top w:type="dxa" w:w="40"/>
              <w:left w:type="dxa" w:w="0"/>
              <w:bottom w:type="dxa" w:w="40"/>
              <w:right w:type="dxa" w:w="0"/>
            </w:tcMar>
          </w:tcPr>
          <w:p>
            <w:r>
              <w:rPr>
                <w:sz w:val="20"/>
                <w:szCs w:val="20"/>
              </w:rPr>
              <w:t xml:space="preserve">: Kelompok IV</w:t>
            </w:r>
          </w:p>
        </w:tc>
      </w:tr>
      <w:tr>
        <w:tc>
          <w:tcPr>
            <w:tcW w:type="dxa" w:w="1996"/>
            <w:tcMar>
              <w:top w:type="dxa" w:w="40"/>
              <w:left w:type="dxa" w:w="0"/>
              <w:bottom w:type="dxa" w:w="40"/>
              <w:right w:type="dxa" w:w="60"/>
            </w:tcMar>
          </w:tcPr>
          <w:p>
            <w:r>
              <w:rPr>
                <w:b/>
                <w:bCs/>
                <w:sz w:val="20"/>
                <w:szCs w:val="20"/>
              </w:rPr>
              <w:t xml:space="preserve">Disusun oleh</w:t>
            </w:r>
          </w:p>
        </w:tc>
        <w:tc>
          <w:tcPr>
            <w:tcW w:type="dxa" w:w="7077"/>
            <w:tcMar>
              <w:top w:type="dxa" w:w="40"/>
              <w:left w:type="dxa" w:w="0"/>
              <w:bottom w:type="dxa" w:w="40"/>
              <w:right w:type="dxa" w:w="0"/>
            </w:tcMar>
          </w:tcPr>
          <w:p>
            <w:r>
              <w:rPr>
                <w:sz w:val="20"/>
                <w:szCs w:val="20"/>
              </w:rPr>
              <w:t xml:space="preserve">: Bambang (5803024019) – System Architect &amp; Frontend Developer</w:t>
            </w:r>
          </w:p>
        </w:tc>
      </w:tr>
      <w:tr>
        <w:tc>
          <w:tcPr>
            <w:tcW w:type="dxa" w:w="1996"/>
            <w:tcMar>
              <w:top w:type="dxa" w:w="40"/>
              <w:left w:type="dxa" w:w="0"/>
              <w:bottom w:type="dxa" w:w="40"/>
              <w:right w:type="dxa" w:w="60"/>
            </w:tcMar>
          </w:tcPr>
          <w:p>
            <w:r>
              <w:rPr>
                <w:b/>
                <w:bCs/>
                <w:sz w:val="20"/>
                <w:szCs w:val="20"/>
              </w:rPr>
              <w:t xml:space="preserve">Output Individu</w:t>
            </w:r>
          </w:p>
        </w:tc>
        <w:tc>
          <w:tcPr>
            <w:tcW w:type="dxa" w:w="7077"/>
            <w:tcMar>
              <w:top w:type="dxa" w:w="40"/>
              <w:left w:type="dxa" w:w="0"/>
              <w:bottom w:type="dxa" w:w="40"/>
              <w:right w:type="dxa" w:w="0"/>
            </w:tcMar>
          </w:tcPr>
          <w:p>
            <w:r>
              <w:rPr>
                <w:sz w:val="20"/>
                <w:szCs w:val="20"/>
              </w:rPr>
              <w:t xml:space="preserve">: Ringkasan Benchmark 2–3 Platform Sejenis</w:t>
            </w:r>
          </w:p>
        </w:tc>
      </w:tr>
    </w:tbl>
    <w:p>
      <w:pPr>
        <w:pBdr>
          <w:bottom w:val="single" w:color="1F3864" w:sz="8"/>
        </w:pBdr>
        <w:spacing w:after="200" w:before="120"/>
      </w:pPr>
    </w:p>
    <w:p>
      <w:pPr>
        <w:pStyle w:val="Heading1"/>
        <w:spacing w:after="140" w:before="280"/>
      </w:pPr>
      <w:r>
        <w:rPr>
          <w:b/>
          <w:bCs/>
          <w:color w:val="1F3864"/>
        </w:rPr>
        <w:t xml:space="preserve">1. Pendahuluan</w:t>
      </w:r>
    </w:p>
    <w:p>
      <w:pPr>
        <w:spacing w:after="160" w:line="276"/>
        <w:jc w:val="both"/>
      </w:pPr>
      <w:r>
        <w:t xml:space="preserve">Sebagai masukan bagi Project Charter yang disusun oleh Project Manager, dilakukan riset awal terhadap platform sejenis yang menangani pengumpulan informasi event dan pendaftaran peserta, khususnya pada konteks kampus/organisasi. Tujuan riset ini adalah untuk memahami fitur inti yang lazim ditawarkan platform sejenis, sekaligus memberikan masukan teknis mengenai kelayakan fitur yang realistis diimplementasikan oleh EventKu dalam satu semester (16 minggu) oleh tim beranggotakan empat orang.</w:t>
      </w:r>
    </w:p>
    <w:p>
      <w:pPr>
        <w:pStyle w:val="Heading1"/>
        <w:spacing w:after="140" w:before="280"/>
      </w:pPr>
      <w:r>
        <w:rPr>
          <w:b/>
          <w:bCs/>
          <w:color w:val="1F3864"/>
        </w:rPr>
        <w:t xml:space="preserve">2. Metodologi Riset</w:t>
      </w:r>
    </w:p>
    <w:p>
      <w:pPr>
        <w:spacing w:after="160" w:line="276"/>
        <w:jc w:val="both"/>
      </w:pPr>
      <w:r>
        <w:t xml:space="preserve">Riset dilakukan melalui penelusuran daring (browser research) terhadap dokumentasi resmi dan ulasan pihak ketiga dari masing-masing platform. Kriteria pembanding yang digunakan adalah:</w:t>
      </w:r>
    </w:p>
    <w:p>
      <w:pPr>
        <w:pStyle w:val="ListParagraph"/>
        <w:numPr>
          <w:ilvl w:val="0"/>
          <w:numId w:val="1"/>
        </w:numPr>
        <w:spacing w:after="80"/>
        <w:jc w:val="both"/>
      </w:pPr>
      <w:r>
        <w:t xml:space="preserve">Target pengguna utama platform;</w:t>
      </w:r>
    </w:p>
    <w:p>
      <w:pPr>
        <w:pStyle w:val="ListParagraph"/>
        <w:numPr>
          <w:ilvl w:val="0"/>
          <w:numId w:val="1"/>
        </w:numPr>
        <w:spacing w:after="80"/>
        <w:jc w:val="both"/>
      </w:pPr>
      <w:r>
        <w:t xml:space="preserve">Fitur inti terkait pengelolaan dan penemuan event;</w:t>
      </w:r>
    </w:p>
    <w:p>
      <w:pPr>
        <w:pStyle w:val="ListParagraph"/>
        <w:numPr>
          <w:ilvl w:val="0"/>
          <w:numId w:val="1"/>
        </w:numPr>
        <w:spacing w:after="80"/>
        <w:jc w:val="both"/>
      </w:pPr>
      <w:r>
        <w:t xml:space="preserve">Mekanisme pendaftaran/RSVP dan moderasi;</w:t>
      </w:r>
    </w:p>
    <w:p>
      <w:pPr>
        <w:pStyle w:val="ListParagraph"/>
        <w:numPr>
          <w:ilvl w:val="0"/>
          <w:numId w:val="1"/>
        </w:numPr>
        <w:spacing w:after="80"/>
        <w:jc w:val="both"/>
      </w:pPr>
      <w:r>
        <w:t xml:space="preserve">Model bisnis (gratis/berbayar) dan skala target (institusi besar vs komunitas kecil);</w:t>
      </w:r>
    </w:p>
    <w:p>
      <w:pPr>
        <w:pStyle w:val="ListParagraph"/>
        <w:numPr>
          <w:ilvl w:val="0"/>
          <w:numId w:val="1"/>
        </w:numPr>
        <w:spacing w:after="80"/>
        <w:jc w:val="both"/>
      </w:pPr>
      <w:r>
        <w:t xml:space="preserve">Relevansi fitur terhadap kebutuhan EventKu sebagai platform event kampus skala menengah.</w:t>
      </w:r>
    </w:p>
    <w:p>
      <w:pPr>
        <w:pStyle w:val="Heading1"/>
        <w:spacing w:after="140" w:before="280"/>
      </w:pPr>
      <w:r>
        <w:rPr>
          <w:b/>
          <w:bCs/>
          <w:color w:val="1F3864"/>
        </w:rPr>
        <w:t xml:space="preserve">3. Profil Platform Pembanding</w:t>
      </w:r>
    </w:p>
    <w:p>
      <w:pPr>
        <w:pStyle w:val="Heading2"/>
        <w:spacing w:after="140" w:before="280"/>
      </w:pPr>
      <w:r>
        <w:rPr>
          <w:b/>
          <w:bCs/>
          <w:color w:val="1F3864"/>
        </w:rPr>
        <w:t xml:space="preserve">3.1 CampusGroups</w:t>
      </w:r>
    </w:p>
    <w:p>
      <w:pPr>
        <w:spacing w:after="160" w:line="276"/>
        <w:jc w:val="both"/>
      </w:pPr>
      <w:r>
        <w:t xml:space="preserve">CampusGroups merupakan platform keterlibatan kampus (</w:t>
      </w:r>
      <w:r>
        <w:rPr>
          <w:i/>
          <w:iCs/>
        </w:rPr>
        <w:t xml:space="preserve">campus engagement platform</w:t>
      </w:r>
      <w:r>
        <w:t xml:space="preserve">) yang menyasar institusi pendidikan tinggi untuk mengelola organisasi mahasiswa, event, dan komunikasi dalam satu platform terpusat. Fitur utamanya mencakup manajemen event dengan alur persetujuan otomatis (</w:t>
      </w:r>
      <w:r>
        <w:rPr>
          <w:i/>
          <w:iCs/>
        </w:rPr>
        <w:t xml:space="preserve">automated approval routing</w:t>
      </w:r>
      <w:r>
        <w:t xml:space="preserve">), pendaftaran dan pelacakan kehadiran, integrasi kalender, notifikasi (push, email, dan chat), serta dashboard pelaporan bagi pengelola organisasi. Platform ini juga mendukung tiket berbayar dan gratis.</w:t>
      </w:r>
    </w:p>
    <w:p>
      <w:pPr>
        <w:spacing w:after="160" w:line="276"/>
        <w:jc w:val="both"/>
      </w:pPr>
      <w:r>
        <w:rPr>
          <w:i/>
          <w:iCs/>
        </w:rPr>
        <w:t xml:space="preserve">Kelebihan</w:t>
      </w:r>
      <w:r>
        <w:t xml:space="preserve">: sangat lengkap, mencakup seluruh siklus hidup event kampus dari pengajuan hingga pelaporan kehadiran. </w:t>
      </w:r>
      <w:r>
        <w:rPr>
          <w:i/>
          <w:iCs/>
        </w:rPr>
        <w:t xml:space="preserve">Keterbatasan untuk konteks EventKu</w:t>
      </w:r>
      <w:r>
        <w:t xml:space="preserve">: platform ini berskala enterprise dan berbayar (lisensi institusi), dengan cakupan fitur jauh melebihi kebutuhan MVP satu semester — misalnya modul pembayaran, manajemen keanggotaan organisasi penuh, dan integrasi sistem informasi akademik yang berada di luar lingkup (</w:t>
      </w:r>
      <w:r>
        <w:rPr>
          <w:i/>
          <w:iCs/>
        </w:rPr>
        <w:t xml:space="preserve">out-of-scope</w:t>
      </w:r>
      <w:r>
        <w:t xml:space="preserve">) EventKu.</w:t>
      </w:r>
    </w:p>
    <w:p>
      <w:pPr>
        <w:pStyle w:val="Heading2"/>
        <w:spacing w:after="140" w:before="280"/>
      </w:pPr>
      <w:r>
        <w:rPr>
          <w:b/>
          <w:bCs/>
          <w:color w:val="1F3864"/>
        </w:rPr>
        <w:t xml:space="preserve">3.2 Presence</w:t>
      </w:r>
    </w:p>
    <w:p>
      <w:pPr>
        <w:spacing w:after="160" w:line="276"/>
        <w:jc w:val="both"/>
      </w:pPr>
      <w:r>
        <w:t xml:space="preserve">Presence adalah platform keterlibatan mahasiswa yang berfokus pada penemuan event (</w:t>
      </w:r>
      <w:r>
        <w:rPr>
          <w:i/>
          <w:iCs/>
        </w:rPr>
        <w:t xml:space="preserve">event discovery</w:t>
      </w:r>
      <w:r>
        <w:t xml:space="preserve">) dan interaksi kampus secara </w:t>
      </w:r>
      <w:r>
        <w:rPr>
          <w:i/>
          <w:iCs/>
        </w:rPr>
        <w:t xml:space="preserve">mobile-first</w:t>
      </w:r>
      <w:r>
        <w:t xml:space="preserve">. Platform ini menonjol pada manajemen ruang/kapasitas event, pelacakan kehadiran secara </w:t>
      </w:r>
      <w:r>
        <w:rPr>
          <w:i/>
          <w:iCs/>
        </w:rPr>
        <w:t xml:space="preserve">real-time</w:t>
      </w:r>
      <w:r>
        <w:t xml:space="preserve">, serta tampilan event yang mudah ditelusuri mahasiswa. Fitur manajemen klub/organisasi pada Presence relatif minim dibandingkan CampusGroups, karena fokus utamanya memang pada sisi event dan kehadiran, bukan manajemen organisasi secara menyeluruh.</w:t>
      </w:r>
    </w:p>
    <w:p>
      <w:pPr>
        <w:spacing w:after="160" w:line="276"/>
        <w:jc w:val="both"/>
      </w:pPr>
      <w:r>
        <w:rPr>
          <w:i/>
          <w:iCs/>
        </w:rPr>
        <w:t xml:space="preserve">Kelebihan</w:t>
      </w:r>
      <w:r>
        <w:t xml:space="preserve">: antarmuka penemuan event yang sederhana dan kuat pada pelacakan kapasitas/kehadiran, paling dekat secara fungsi dengan modul pencarian dan RSVP EventKu. </w:t>
      </w:r>
      <w:r>
        <w:rPr>
          <w:i/>
          <w:iCs/>
        </w:rPr>
        <w:t xml:space="preserve">Keterbatasan untuk konteks EventKu</w:t>
      </w:r>
      <w:r>
        <w:t xml:space="preserve">: tetap merupakan produk komersial berskala institusi dengan aplikasi mobile native, sementara EventKu pada MVP semester ini membatasi diri pada aplikasi web responsif tanpa aplikasi mobile terpisah.</w:t>
      </w:r>
    </w:p>
    <w:p>
      <w:pPr>
        <w:pStyle w:val="Heading2"/>
        <w:spacing w:after="140" w:before="280"/>
      </w:pPr>
      <w:r>
        <w:rPr>
          <w:b/>
          <w:bCs/>
          <w:color w:val="1F3864"/>
        </w:rPr>
        <w:t xml:space="preserve">3.3 Eventbrite</w:t>
      </w:r>
    </w:p>
    <w:p>
      <w:pPr>
        <w:spacing w:after="160" w:line="276"/>
        <w:jc w:val="both"/>
      </w:pPr>
      <w:r>
        <w:t xml:space="preserve">Eventbrite adalah platform tiket dan pendaftaran event berskala global yang bersifat umum (tidak khusus kampus), banyak digunakan untuk event publik maupun komunitas. Fitur utamanya meliputi pembuatan halaman event, pengaturan tiket gratis/berbayar dengan berbagai jenis tiket, pelacakan RSVP secara </w:t>
      </w:r>
      <w:r>
        <w:rPr>
          <w:i/>
          <w:iCs/>
        </w:rPr>
        <w:t xml:space="preserve">real-time</w:t>
      </w:r>
      <w:r>
        <w:t xml:space="preserve">, serta aplikasi </w:t>
      </w:r>
      <w:r>
        <w:rPr>
          <w:i/>
          <w:iCs/>
        </w:rPr>
        <w:t xml:space="preserve">check-in</w:t>
      </w:r>
      <w:r>
        <w:t xml:space="preserve"> berbasis QR.</w:t>
      </w:r>
    </w:p>
    <w:p>
      <w:pPr>
        <w:spacing w:after="160" w:line="276"/>
        <w:jc w:val="both"/>
      </w:pPr>
      <w:r>
        <w:rPr>
          <w:i/>
          <w:iCs/>
        </w:rPr>
        <w:t xml:space="preserve">Kelebihan</w:t>
      </w:r>
      <w:r>
        <w:t xml:space="preserve">: alur pembuatan event dan RSVP sangat sederhana dan cepat dipahami pengguna baru, menjadi acuan baik untuk merancang alur pengajuan event dan pendaftaran/RSVP yang </w:t>
      </w:r>
      <w:r>
        <w:rPr>
          <w:i/>
          <w:iCs/>
        </w:rPr>
        <w:t xml:space="preserve">user-friendly</w:t>
      </w:r>
      <w:r>
        <w:t xml:space="preserve"> pada EventKu. </w:t>
      </w:r>
      <w:r>
        <w:rPr>
          <w:i/>
          <w:iCs/>
        </w:rPr>
        <w:t xml:space="preserve">Keterbatasan untuk konteks EventKu</w:t>
      </w:r>
      <w:r>
        <w:t xml:space="preserve">: tidak memiliki konsep moderasi berjenjang berbasis peran institusi (mahasiswa/penyelenggara/admin kampus) karena bersifat platform terbuka untuk publik umum, serta branding dan alur pembayaran selalu terikat pada Eventbrite sendiri (tidak </w:t>
      </w:r>
      <w:r>
        <w:rPr>
          <w:i/>
          <w:iCs/>
        </w:rPr>
        <w:t xml:space="preserve">white-label</w:t>
      </w:r>
      <w:r>
        <w:t xml:space="preserve">).</w:t>
      </w:r>
    </w:p>
    <w:p>
      <w:pPr>
        <w:pStyle w:val="Heading1"/>
        <w:spacing w:after="140" w:before="280"/>
      </w:pPr>
      <w:r>
        <w:rPr>
          <w:b/>
          <w:bCs/>
          <w:color w:val="1F3864"/>
        </w:rPr>
        <w:t xml:space="preserve">4. Tabel Perbandingan Fitur</w:t>
      </w:r>
    </w:p>
    <w:tbl>
      <w:tblPr>
        <w:tblW w:type="dxa" w:w="9073"/>
        <w:tblBorders>
          <w:top w:val="single" w:color="1F3864" w:sz="4"/>
          <w:left w:val="none" w:color="FFFFFF" w:sz="0"/>
          <w:bottom w:val="single" w:color="1F3864" w:sz="4"/>
          <w:right w:val="none" w:color="FFFFFF" w:sz="0"/>
          <w:insideH w:val="single" w:color="AAAAAA" w:sz="2"/>
          <w:insideV w:val="none" w:color="FFFFFF" w:sz="0"/>
        </w:tblBorders>
      </w:tblPr>
      <w:tblGrid>
        <w:gridCol w:w="1773"/>
        <w:gridCol w:w="1773"/>
        <w:gridCol w:w="1773"/>
        <w:gridCol w:w="1773"/>
        <w:gridCol w:w="1981"/>
      </w:tblGrid>
      <w:tr>
        <w:trPr>
          <w:tblHeader/>
        </w:trPr>
        <w:tc>
          <w:tcPr>
            <w:tcW w:type="dxa" w:w="1773"/>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Fitur / Aspek</w:t>
            </w:r>
          </w:p>
        </w:tc>
        <w:tc>
          <w:tcPr>
            <w:tcW w:type="dxa" w:w="1773"/>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CampusGroups</w:t>
            </w:r>
          </w:p>
        </w:tc>
        <w:tc>
          <w:tcPr>
            <w:tcW w:type="dxa" w:w="1773"/>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Presence</w:t>
            </w:r>
          </w:p>
        </w:tc>
        <w:tc>
          <w:tcPr>
            <w:tcW w:type="dxa" w:w="1773"/>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Eventbrite</w:t>
            </w:r>
          </w:p>
        </w:tc>
        <w:tc>
          <w:tcPr>
            <w:tcW w:type="dxa" w:w="1981"/>
            <w:tcBorders>
              <w:top w:val="single" w:color="1F3864" w:sz="4"/>
              <w:bottom w:val="single" w:color="1F3864" w:sz="4"/>
            </w:tcBorders>
            <w:shd w:fill="D9E2F3" w:color="auto" w:val="clear"/>
            <w:tcMar>
              <w:top w:type="dxa" w:w="80"/>
              <w:left w:type="dxa" w:w="100"/>
              <w:bottom w:type="dxa" w:w="80"/>
              <w:right w:type="dxa" w:w="100"/>
            </w:tcMar>
          </w:tcPr>
          <w:p>
            <w:r>
              <w:rPr>
                <w:b/>
                <w:bCs/>
                <w:color w:val="1F3864"/>
                <w:sz w:val="19"/>
                <w:szCs w:val="19"/>
              </w:rPr>
              <w:t xml:space="preserve">Rencana EventKu</w:t>
            </w:r>
          </w:p>
        </w:tc>
      </w:tr>
      <w:tr>
        <w:tc>
          <w:tcPr>
            <w:tcW w:type="dxa" w:w="1773"/>
            <w:tcMar>
              <w:top w:type="dxa" w:w="80"/>
              <w:left w:type="dxa" w:w="100"/>
              <w:bottom w:type="dxa" w:w="80"/>
              <w:right w:type="dxa" w:w="100"/>
            </w:tcMar>
          </w:tcPr>
          <w:p>
            <w:pPr>
              <w:spacing w:line="264"/>
              <w:jc w:val="both"/>
            </w:pPr>
            <w:r>
              <w:rPr>
                <w:sz w:val="19"/>
                <w:szCs w:val="19"/>
              </w:rPr>
              <w:t xml:space="preserve">Registrasi berbasis peran kampus</w:t>
            </w:r>
          </w:p>
        </w:tc>
        <w:tc>
          <w:tcPr>
            <w:tcW w:type="dxa" w:w="1773"/>
            <w:tcMar>
              <w:top w:type="dxa" w:w="80"/>
              <w:left w:type="dxa" w:w="100"/>
              <w:bottom w:type="dxa" w:w="80"/>
              <w:right w:type="dxa" w:w="100"/>
            </w:tcMar>
          </w:tcPr>
          <w:p>
            <w:pPr>
              <w:spacing w:line="264"/>
              <w:jc w:val="both"/>
            </w:pPr>
            <w:r>
              <w:rPr>
                <w:sz w:val="19"/>
                <w:szCs w:val="19"/>
              </w:rPr>
              <w:t xml:space="preserve">Ya, lengkap</w:t>
            </w:r>
          </w:p>
        </w:tc>
        <w:tc>
          <w:tcPr>
            <w:tcW w:type="dxa" w:w="1773"/>
            <w:tcMar>
              <w:top w:type="dxa" w:w="80"/>
              <w:left w:type="dxa" w:w="100"/>
              <w:bottom w:type="dxa" w:w="80"/>
              <w:right w:type="dxa" w:w="100"/>
            </w:tcMar>
          </w:tcPr>
          <w:p>
            <w:pPr>
              <w:spacing w:line="264"/>
              <w:jc w:val="both"/>
            </w:pPr>
            <w:r>
              <w:rPr>
                <w:sz w:val="19"/>
                <w:szCs w:val="19"/>
              </w:rPr>
              <w:t xml:space="preserve">Terbatas</w:t>
            </w:r>
          </w:p>
        </w:tc>
        <w:tc>
          <w:tcPr>
            <w:tcW w:type="dxa" w:w="1773"/>
            <w:tcMar>
              <w:top w:type="dxa" w:w="80"/>
              <w:left w:type="dxa" w:w="100"/>
              <w:bottom w:type="dxa" w:w="80"/>
              <w:right w:type="dxa" w:w="100"/>
            </w:tcMar>
          </w:tcPr>
          <w:p>
            <w:pPr>
              <w:spacing w:line="264"/>
              <w:jc w:val="both"/>
            </w:pPr>
            <w:r>
              <w:rPr>
                <w:sz w:val="19"/>
                <w:szCs w:val="19"/>
              </w:rPr>
              <w:t xml:space="preserve">Tidak ada</w:t>
            </w:r>
          </w:p>
        </w:tc>
        <w:tc>
          <w:tcPr>
            <w:tcW w:type="dxa" w:w="1981"/>
            <w:tcMar>
              <w:top w:type="dxa" w:w="80"/>
              <w:left w:type="dxa" w:w="100"/>
              <w:bottom w:type="dxa" w:w="80"/>
              <w:right w:type="dxa" w:w="100"/>
            </w:tcMar>
          </w:tcPr>
          <w:p>
            <w:pPr>
              <w:spacing w:line="264"/>
              <w:jc w:val="both"/>
            </w:pPr>
            <w:r>
              <w:rPr>
                <w:sz w:val="19"/>
                <w:szCs w:val="19"/>
              </w:rPr>
              <w:t xml:space="preserve">Ya (mahasiswa, penyelenggara, admin)</w:t>
            </w:r>
          </w:p>
        </w:tc>
      </w:tr>
      <w:tr>
        <w:tc>
          <w:tcPr>
            <w:tcW w:type="dxa" w:w="1773"/>
            <w:tcMar>
              <w:top w:type="dxa" w:w="80"/>
              <w:left w:type="dxa" w:w="100"/>
              <w:bottom w:type="dxa" w:w="80"/>
              <w:right w:type="dxa" w:w="100"/>
            </w:tcMar>
          </w:tcPr>
          <w:p>
            <w:pPr>
              <w:spacing w:line="264"/>
              <w:jc w:val="both"/>
            </w:pPr>
            <w:r>
              <w:rPr>
                <w:sz w:val="19"/>
                <w:szCs w:val="19"/>
              </w:rPr>
              <w:t xml:space="preserve">Pengajuan &amp; moderasi event</w:t>
            </w:r>
          </w:p>
        </w:tc>
        <w:tc>
          <w:tcPr>
            <w:tcW w:type="dxa" w:w="1773"/>
            <w:tcMar>
              <w:top w:type="dxa" w:w="80"/>
              <w:left w:type="dxa" w:w="100"/>
              <w:bottom w:type="dxa" w:w="80"/>
              <w:right w:type="dxa" w:w="100"/>
            </w:tcMar>
          </w:tcPr>
          <w:p>
            <w:pPr>
              <w:spacing w:line="264"/>
              <w:jc w:val="both"/>
            </w:pPr>
            <w:r>
              <w:rPr>
                <w:sz w:val="19"/>
                <w:szCs w:val="19"/>
              </w:rPr>
              <w:t xml:space="preserve">Ya, alur persetujuan otomatis</w:t>
            </w:r>
          </w:p>
        </w:tc>
        <w:tc>
          <w:tcPr>
            <w:tcW w:type="dxa" w:w="1773"/>
            <w:tcMar>
              <w:top w:type="dxa" w:w="80"/>
              <w:left w:type="dxa" w:w="100"/>
              <w:bottom w:type="dxa" w:w="80"/>
              <w:right w:type="dxa" w:w="100"/>
            </w:tcMar>
          </w:tcPr>
          <w:p>
            <w:pPr>
              <w:spacing w:line="264"/>
              <w:jc w:val="both"/>
            </w:pPr>
            <w:r>
              <w:rPr>
                <w:sz w:val="19"/>
                <w:szCs w:val="19"/>
              </w:rPr>
              <w:t xml:space="preserve">Terbatas</w:t>
            </w:r>
          </w:p>
        </w:tc>
        <w:tc>
          <w:tcPr>
            <w:tcW w:type="dxa" w:w="1773"/>
            <w:tcMar>
              <w:top w:type="dxa" w:w="80"/>
              <w:left w:type="dxa" w:w="100"/>
              <w:bottom w:type="dxa" w:w="80"/>
              <w:right w:type="dxa" w:w="100"/>
            </w:tcMar>
          </w:tcPr>
          <w:p>
            <w:pPr>
              <w:spacing w:line="264"/>
              <w:jc w:val="both"/>
            </w:pPr>
            <w:r>
              <w:rPr>
                <w:sz w:val="19"/>
                <w:szCs w:val="19"/>
              </w:rPr>
              <w:t xml:space="preserve">Tidak ada (publikasi langsung)</w:t>
            </w:r>
          </w:p>
        </w:tc>
        <w:tc>
          <w:tcPr>
            <w:tcW w:type="dxa" w:w="1981"/>
            <w:tcMar>
              <w:top w:type="dxa" w:w="80"/>
              <w:left w:type="dxa" w:w="100"/>
              <w:bottom w:type="dxa" w:w="80"/>
              <w:right w:type="dxa" w:w="100"/>
            </w:tcMar>
          </w:tcPr>
          <w:p>
            <w:pPr>
              <w:spacing w:line="264"/>
              <w:jc w:val="both"/>
            </w:pPr>
            <w:r>
              <w:rPr>
                <w:sz w:val="19"/>
                <w:szCs w:val="19"/>
              </w:rPr>
              <w:t xml:space="preserve">Ya, moderasi manual oleh admin</w:t>
            </w:r>
          </w:p>
        </w:tc>
      </w:tr>
      <w:tr>
        <w:tc>
          <w:tcPr>
            <w:tcW w:type="dxa" w:w="1773"/>
            <w:tcMar>
              <w:top w:type="dxa" w:w="80"/>
              <w:left w:type="dxa" w:w="100"/>
              <w:bottom w:type="dxa" w:w="80"/>
              <w:right w:type="dxa" w:w="100"/>
            </w:tcMar>
          </w:tcPr>
          <w:p>
            <w:pPr>
              <w:spacing w:line="264"/>
              <w:jc w:val="both"/>
            </w:pPr>
            <w:r>
              <w:rPr>
                <w:sz w:val="19"/>
                <w:szCs w:val="19"/>
              </w:rPr>
              <w:t xml:space="preserve">Pencarian &amp; filter event</w:t>
            </w:r>
          </w:p>
        </w:tc>
        <w:tc>
          <w:tcPr>
            <w:tcW w:type="dxa" w:w="1773"/>
            <w:tcMar>
              <w:top w:type="dxa" w:w="80"/>
              <w:left w:type="dxa" w:w="100"/>
              <w:bottom w:type="dxa" w:w="80"/>
              <w:right w:type="dxa" w:w="100"/>
            </w:tcMar>
          </w:tcPr>
          <w:p>
            <w:pPr>
              <w:spacing w:line="264"/>
              <w:jc w:val="both"/>
            </w:pPr>
            <w:r>
              <w:rPr>
                <w:sz w:val="19"/>
                <w:szCs w:val="19"/>
              </w:rPr>
              <w:t xml:space="preserve">Ya</w:t>
            </w:r>
          </w:p>
        </w:tc>
        <w:tc>
          <w:tcPr>
            <w:tcW w:type="dxa" w:w="1773"/>
            <w:tcMar>
              <w:top w:type="dxa" w:w="80"/>
              <w:left w:type="dxa" w:w="100"/>
              <w:bottom w:type="dxa" w:w="80"/>
              <w:right w:type="dxa" w:w="100"/>
            </w:tcMar>
          </w:tcPr>
          <w:p>
            <w:pPr>
              <w:spacing w:line="264"/>
              <w:jc w:val="both"/>
            </w:pPr>
            <w:r>
              <w:rPr>
                <w:sz w:val="19"/>
                <w:szCs w:val="19"/>
              </w:rPr>
              <w:t xml:space="preserve">Ya, sangat kuat</w:t>
            </w:r>
          </w:p>
        </w:tc>
        <w:tc>
          <w:tcPr>
            <w:tcW w:type="dxa" w:w="1773"/>
            <w:tcMar>
              <w:top w:type="dxa" w:w="80"/>
              <w:left w:type="dxa" w:w="100"/>
              <w:bottom w:type="dxa" w:w="80"/>
              <w:right w:type="dxa" w:w="100"/>
            </w:tcMar>
          </w:tcPr>
          <w:p>
            <w:pPr>
              <w:spacing w:line="264"/>
              <w:jc w:val="both"/>
            </w:pPr>
            <w:r>
              <w:rPr>
                <w:sz w:val="19"/>
                <w:szCs w:val="19"/>
              </w:rPr>
              <w:t xml:space="preserve">Ya</w:t>
            </w:r>
          </w:p>
        </w:tc>
        <w:tc>
          <w:tcPr>
            <w:tcW w:type="dxa" w:w="1981"/>
            <w:tcMar>
              <w:top w:type="dxa" w:w="80"/>
              <w:left w:type="dxa" w:w="100"/>
              <w:bottom w:type="dxa" w:w="80"/>
              <w:right w:type="dxa" w:w="100"/>
            </w:tcMar>
          </w:tcPr>
          <w:p>
            <w:pPr>
              <w:spacing w:line="264"/>
              <w:jc w:val="both"/>
            </w:pPr>
            <w:r>
              <w:rPr>
                <w:sz w:val="19"/>
                <w:szCs w:val="19"/>
              </w:rPr>
              <w:t xml:space="preserve">Ya (kategori, tanggal, penyelenggara)</w:t>
            </w:r>
          </w:p>
        </w:tc>
      </w:tr>
      <w:tr>
        <w:tc>
          <w:tcPr>
            <w:tcW w:type="dxa" w:w="1773"/>
            <w:tcMar>
              <w:top w:type="dxa" w:w="80"/>
              <w:left w:type="dxa" w:w="100"/>
              <w:bottom w:type="dxa" w:w="80"/>
              <w:right w:type="dxa" w:w="100"/>
            </w:tcMar>
          </w:tcPr>
          <w:p>
            <w:pPr>
              <w:spacing w:line="264"/>
              <w:jc w:val="both"/>
            </w:pPr>
            <w:r>
              <w:rPr>
                <w:sz w:val="19"/>
                <w:szCs w:val="19"/>
              </w:rPr>
              <w:t xml:space="preserve">Pendaftaran / RSVP</w:t>
            </w:r>
          </w:p>
        </w:tc>
        <w:tc>
          <w:tcPr>
            <w:tcW w:type="dxa" w:w="1773"/>
            <w:tcMar>
              <w:top w:type="dxa" w:w="80"/>
              <w:left w:type="dxa" w:w="100"/>
              <w:bottom w:type="dxa" w:w="80"/>
              <w:right w:type="dxa" w:w="100"/>
            </w:tcMar>
          </w:tcPr>
          <w:p>
            <w:pPr>
              <w:spacing w:line="264"/>
              <w:jc w:val="both"/>
            </w:pPr>
            <w:r>
              <w:rPr>
                <w:sz w:val="19"/>
                <w:szCs w:val="19"/>
              </w:rPr>
              <w:t xml:space="preserve">Ya</w:t>
            </w:r>
          </w:p>
        </w:tc>
        <w:tc>
          <w:tcPr>
            <w:tcW w:type="dxa" w:w="1773"/>
            <w:tcMar>
              <w:top w:type="dxa" w:w="80"/>
              <w:left w:type="dxa" w:w="100"/>
              <w:bottom w:type="dxa" w:w="80"/>
              <w:right w:type="dxa" w:w="100"/>
            </w:tcMar>
          </w:tcPr>
          <w:p>
            <w:pPr>
              <w:spacing w:line="264"/>
              <w:jc w:val="both"/>
            </w:pPr>
            <w:r>
              <w:rPr>
                <w:sz w:val="19"/>
                <w:szCs w:val="19"/>
              </w:rPr>
              <w:t xml:space="preserve">Ya, kuat pada kapasitas &amp; kehadiran real-time</w:t>
            </w:r>
          </w:p>
        </w:tc>
        <w:tc>
          <w:tcPr>
            <w:tcW w:type="dxa" w:w="1773"/>
            <w:tcMar>
              <w:top w:type="dxa" w:w="80"/>
              <w:left w:type="dxa" w:w="100"/>
              <w:bottom w:type="dxa" w:w="80"/>
              <w:right w:type="dxa" w:w="100"/>
            </w:tcMar>
          </w:tcPr>
          <w:p>
            <w:pPr>
              <w:spacing w:line="264"/>
              <w:jc w:val="both"/>
            </w:pPr>
            <w:r>
              <w:rPr>
                <w:sz w:val="19"/>
                <w:szCs w:val="19"/>
              </w:rPr>
              <w:t xml:space="preserve">Ya, sangat matang</w:t>
            </w:r>
          </w:p>
        </w:tc>
        <w:tc>
          <w:tcPr>
            <w:tcW w:type="dxa" w:w="1981"/>
            <w:tcMar>
              <w:top w:type="dxa" w:w="80"/>
              <w:left w:type="dxa" w:w="100"/>
              <w:bottom w:type="dxa" w:w="80"/>
              <w:right w:type="dxa" w:w="100"/>
            </w:tcMar>
          </w:tcPr>
          <w:p>
            <w:pPr>
              <w:spacing w:line="264"/>
              <w:jc w:val="both"/>
            </w:pPr>
            <w:r>
              <w:rPr>
                <w:sz w:val="19"/>
                <w:szCs w:val="19"/>
              </w:rPr>
              <w:t xml:space="preserve">Ya (dasar)</w:t>
            </w:r>
          </w:p>
        </w:tc>
      </w:tr>
      <w:tr>
        <w:tc>
          <w:tcPr>
            <w:tcW w:type="dxa" w:w="1773"/>
            <w:tcMar>
              <w:top w:type="dxa" w:w="80"/>
              <w:left w:type="dxa" w:w="100"/>
              <w:bottom w:type="dxa" w:w="80"/>
              <w:right w:type="dxa" w:w="100"/>
            </w:tcMar>
          </w:tcPr>
          <w:p>
            <w:pPr>
              <w:spacing w:line="264"/>
              <w:jc w:val="both"/>
            </w:pPr>
            <w:r>
              <w:rPr>
                <w:sz w:val="19"/>
                <w:szCs w:val="19"/>
              </w:rPr>
              <w:t xml:space="preserve">Kalender event</w:t>
            </w:r>
          </w:p>
        </w:tc>
        <w:tc>
          <w:tcPr>
            <w:tcW w:type="dxa" w:w="1773"/>
            <w:tcMar>
              <w:top w:type="dxa" w:w="80"/>
              <w:left w:type="dxa" w:w="100"/>
              <w:bottom w:type="dxa" w:w="80"/>
              <w:right w:type="dxa" w:w="100"/>
            </w:tcMar>
          </w:tcPr>
          <w:p>
            <w:pPr>
              <w:spacing w:line="264"/>
              <w:jc w:val="both"/>
            </w:pPr>
            <w:r>
              <w:rPr>
                <w:sz w:val="19"/>
                <w:szCs w:val="19"/>
              </w:rPr>
              <w:t xml:space="preserve">Ya</w:t>
            </w:r>
          </w:p>
        </w:tc>
        <w:tc>
          <w:tcPr>
            <w:tcW w:type="dxa" w:w="1773"/>
            <w:tcMar>
              <w:top w:type="dxa" w:w="80"/>
              <w:left w:type="dxa" w:w="100"/>
              <w:bottom w:type="dxa" w:w="80"/>
              <w:right w:type="dxa" w:w="100"/>
            </w:tcMar>
          </w:tcPr>
          <w:p>
            <w:pPr>
              <w:spacing w:line="264"/>
              <w:jc w:val="both"/>
            </w:pPr>
            <w:r>
              <w:rPr>
                <w:sz w:val="19"/>
                <w:szCs w:val="19"/>
              </w:rPr>
              <w:t xml:space="preserve">Sebagian</w:t>
            </w:r>
          </w:p>
        </w:tc>
        <w:tc>
          <w:tcPr>
            <w:tcW w:type="dxa" w:w="1773"/>
            <w:tcMar>
              <w:top w:type="dxa" w:w="80"/>
              <w:left w:type="dxa" w:w="100"/>
              <w:bottom w:type="dxa" w:w="80"/>
              <w:right w:type="dxa" w:w="100"/>
            </w:tcMar>
          </w:tcPr>
          <w:p>
            <w:pPr>
              <w:spacing w:line="264"/>
              <w:jc w:val="both"/>
            </w:pPr>
            <w:r>
              <w:rPr>
                <w:sz w:val="19"/>
                <w:szCs w:val="19"/>
              </w:rPr>
              <w:t xml:space="preserve">Tidak difokuskan</w:t>
            </w:r>
          </w:p>
        </w:tc>
        <w:tc>
          <w:tcPr>
            <w:tcW w:type="dxa" w:w="1981"/>
            <w:tcMar>
              <w:top w:type="dxa" w:w="80"/>
              <w:left w:type="dxa" w:w="100"/>
              <w:bottom w:type="dxa" w:w="80"/>
              <w:right w:type="dxa" w:w="100"/>
            </w:tcMar>
          </w:tcPr>
          <w:p>
            <w:pPr>
              <w:spacing w:line="264"/>
              <w:jc w:val="both"/>
            </w:pPr>
            <w:r>
              <w:rPr>
                <w:sz w:val="19"/>
                <w:szCs w:val="19"/>
              </w:rPr>
              <w:t xml:space="preserve">Ya (tampilan bulanan)</w:t>
            </w:r>
          </w:p>
        </w:tc>
      </w:tr>
      <w:tr>
        <w:tc>
          <w:tcPr>
            <w:tcW w:type="dxa" w:w="1773"/>
            <w:tcMar>
              <w:top w:type="dxa" w:w="80"/>
              <w:left w:type="dxa" w:w="100"/>
              <w:bottom w:type="dxa" w:w="80"/>
              <w:right w:type="dxa" w:w="100"/>
            </w:tcMar>
          </w:tcPr>
          <w:p>
            <w:pPr>
              <w:spacing w:line="264"/>
              <w:jc w:val="both"/>
            </w:pPr>
            <w:r>
              <w:rPr>
                <w:sz w:val="19"/>
                <w:szCs w:val="19"/>
              </w:rPr>
              <w:t xml:space="preserve">Notifikasi event</w:t>
            </w:r>
          </w:p>
        </w:tc>
        <w:tc>
          <w:tcPr>
            <w:tcW w:type="dxa" w:w="1773"/>
            <w:tcMar>
              <w:top w:type="dxa" w:w="80"/>
              <w:left w:type="dxa" w:w="100"/>
              <w:bottom w:type="dxa" w:w="80"/>
              <w:right w:type="dxa" w:w="100"/>
            </w:tcMar>
          </w:tcPr>
          <w:p>
            <w:pPr>
              <w:spacing w:line="264"/>
              <w:jc w:val="both"/>
            </w:pPr>
            <w:r>
              <w:rPr>
                <w:sz w:val="19"/>
                <w:szCs w:val="19"/>
              </w:rPr>
              <w:t xml:space="preserve">Ya (push, email, chat)</w:t>
            </w:r>
          </w:p>
        </w:tc>
        <w:tc>
          <w:tcPr>
            <w:tcW w:type="dxa" w:w="1773"/>
            <w:tcMar>
              <w:top w:type="dxa" w:w="80"/>
              <w:left w:type="dxa" w:w="100"/>
              <w:bottom w:type="dxa" w:w="80"/>
              <w:right w:type="dxa" w:w="100"/>
            </w:tcMar>
          </w:tcPr>
          <w:p>
            <w:pPr>
              <w:spacing w:line="264"/>
              <w:jc w:val="both"/>
            </w:pPr>
            <w:r>
              <w:rPr>
                <w:sz w:val="19"/>
                <w:szCs w:val="19"/>
              </w:rPr>
              <w:t xml:space="preserve">Ya (push)</w:t>
            </w:r>
          </w:p>
        </w:tc>
        <w:tc>
          <w:tcPr>
            <w:tcW w:type="dxa" w:w="1773"/>
            <w:tcMar>
              <w:top w:type="dxa" w:w="80"/>
              <w:left w:type="dxa" w:w="100"/>
              <w:bottom w:type="dxa" w:w="80"/>
              <w:right w:type="dxa" w:w="100"/>
            </w:tcMar>
          </w:tcPr>
          <w:p>
            <w:pPr>
              <w:spacing w:line="264"/>
              <w:jc w:val="both"/>
            </w:pPr>
            <w:r>
              <w:rPr>
                <w:sz w:val="19"/>
                <w:szCs w:val="19"/>
              </w:rPr>
              <w:t xml:space="preserve">Email dasar</w:t>
            </w:r>
          </w:p>
        </w:tc>
        <w:tc>
          <w:tcPr>
            <w:tcW w:type="dxa" w:w="1981"/>
            <w:tcMar>
              <w:top w:type="dxa" w:w="80"/>
              <w:left w:type="dxa" w:w="100"/>
              <w:bottom w:type="dxa" w:w="80"/>
              <w:right w:type="dxa" w:w="100"/>
            </w:tcMar>
          </w:tcPr>
          <w:p>
            <w:pPr>
              <w:spacing w:line="264"/>
              <w:jc w:val="both"/>
            </w:pPr>
            <w:r>
              <w:rPr>
                <w:sz w:val="19"/>
                <w:szCs w:val="19"/>
              </w:rPr>
              <w:t xml:space="preserve">Ya (nice-to-have, minggu 13)</w:t>
            </w:r>
          </w:p>
        </w:tc>
      </w:tr>
      <w:tr>
        <w:tc>
          <w:tcPr>
            <w:tcW w:type="dxa" w:w="1773"/>
            <w:tcMar>
              <w:top w:type="dxa" w:w="80"/>
              <w:left w:type="dxa" w:w="100"/>
              <w:bottom w:type="dxa" w:w="80"/>
              <w:right w:type="dxa" w:w="100"/>
            </w:tcMar>
          </w:tcPr>
          <w:p>
            <w:pPr>
              <w:spacing w:line="264"/>
              <w:jc w:val="both"/>
            </w:pPr>
            <w:r>
              <w:rPr>
                <w:sz w:val="19"/>
                <w:szCs w:val="19"/>
              </w:rPr>
              <w:t xml:space="preserve">Dashboard penyelenggara</w:t>
            </w:r>
          </w:p>
        </w:tc>
        <w:tc>
          <w:tcPr>
            <w:tcW w:type="dxa" w:w="1773"/>
            <w:tcMar>
              <w:top w:type="dxa" w:w="80"/>
              <w:left w:type="dxa" w:w="100"/>
              <w:bottom w:type="dxa" w:w="80"/>
              <w:right w:type="dxa" w:w="100"/>
            </w:tcMar>
          </w:tcPr>
          <w:p>
            <w:pPr>
              <w:spacing w:line="264"/>
              <w:jc w:val="both"/>
            </w:pPr>
            <w:r>
              <w:rPr>
                <w:sz w:val="19"/>
                <w:szCs w:val="19"/>
              </w:rPr>
              <w:t xml:space="preserve">Ya, lengkap</w:t>
            </w:r>
          </w:p>
        </w:tc>
        <w:tc>
          <w:tcPr>
            <w:tcW w:type="dxa" w:w="1773"/>
            <w:tcMar>
              <w:top w:type="dxa" w:w="80"/>
              <w:left w:type="dxa" w:w="100"/>
              <w:bottom w:type="dxa" w:w="80"/>
              <w:right w:type="dxa" w:w="100"/>
            </w:tcMar>
          </w:tcPr>
          <w:p>
            <w:pPr>
              <w:spacing w:line="264"/>
              <w:jc w:val="both"/>
            </w:pPr>
            <w:r>
              <w:rPr>
                <w:sz w:val="19"/>
                <w:szCs w:val="19"/>
              </w:rPr>
              <w:t xml:space="preserve">Sebagian</w:t>
            </w:r>
          </w:p>
        </w:tc>
        <w:tc>
          <w:tcPr>
            <w:tcW w:type="dxa" w:w="1773"/>
            <w:tcMar>
              <w:top w:type="dxa" w:w="80"/>
              <w:left w:type="dxa" w:w="100"/>
              <w:bottom w:type="dxa" w:w="80"/>
              <w:right w:type="dxa" w:w="100"/>
            </w:tcMar>
          </w:tcPr>
          <w:p>
            <w:pPr>
              <w:spacing w:line="264"/>
              <w:jc w:val="both"/>
            </w:pPr>
            <w:r>
              <w:rPr>
                <w:sz w:val="19"/>
                <w:szCs w:val="19"/>
              </w:rPr>
              <w:t xml:space="preserve">Analitik dasar</w:t>
            </w:r>
          </w:p>
        </w:tc>
        <w:tc>
          <w:tcPr>
            <w:tcW w:type="dxa" w:w="1981"/>
            <w:tcMar>
              <w:top w:type="dxa" w:w="80"/>
              <w:left w:type="dxa" w:w="100"/>
              <w:bottom w:type="dxa" w:w="80"/>
              <w:right w:type="dxa" w:w="100"/>
            </w:tcMar>
          </w:tcPr>
          <w:p>
            <w:pPr>
              <w:spacing w:line="264"/>
              <w:jc w:val="both"/>
            </w:pPr>
            <w:r>
              <w:rPr>
                <w:sz w:val="19"/>
                <w:szCs w:val="19"/>
              </w:rPr>
              <w:t xml:space="preserve">Ya (dasar: daftar &amp; statistik peserta)</w:t>
            </w:r>
          </w:p>
        </w:tc>
      </w:tr>
      <w:tr>
        <w:tc>
          <w:tcPr>
            <w:tcW w:type="dxa" w:w="1773"/>
            <w:tcMar>
              <w:top w:type="dxa" w:w="80"/>
              <w:left w:type="dxa" w:w="100"/>
              <w:bottom w:type="dxa" w:w="80"/>
              <w:right w:type="dxa" w:w="100"/>
            </w:tcMar>
          </w:tcPr>
          <w:p>
            <w:pPr>
              <w:spacing w:line="264"/>
              <w:jc w:val="both"/>
            </w:pPr>
            <w:r>
              <w:rPr>
                <w:sz w:val="19"/>
                <w:szCs w:val="19"/>
              </w:rPr>
              <w:t xml:space="preserve">Tiket berbayar</w:t>
            </w:r>
          </w:p>
        </w:tc>
        <w:tc>
          <w:tcPr>
            <w:tcW w:type="dxa" w:w="1773"/>
            <w:tcMar>
              <w:top w:type="dxa" w:w="80"/>
              <w:left w:type="dxa" w:w="100"/>
              <w:bottom w:type="dxa" w:w="80"/>
              <w:right w:type="dxa" w:w="100"/>
            </w:tcMar>
          </w:tcPr>
          <w:p>
            <w:pPr>
              <w:spacing w:line="264"/>
              <w:jc w:val="both"/>
            </w:pPr>
            <w:r>
              <w:rPr>
                <w:sz w:val="19"/>
                <w:szCs w:val="19"/>
              </w:rPr>
              <w:t xml:space="preserve">Ya</w:t>
            </w:r>
          </w:p>
        </w:tc>
        <w:tc>
          <w:tcPr>
            <w:tcW w:type="dxa" w:w="1773"/>
            <w:tcMar>
              <w:top w:type="dxa" w:w="80"/>
              <w:left w:type="dxa" w:w="100"/>
              <w:bottom w:type="dxa" w:w="80"/>
              <w:right w:type="dxa" w:w="100"/>
            </w:tcMar>
          </w:tcPr>
          <w:p>
            <w:pPr>
              <w:spacing w:line="264"/>
              <w:jc w:val="both"/>
            </w:pPr>
            <w:r>
              <w:rPr>
                <w:sz w:val="19"/>
                <w:szCs w:val="19"/>
              </w:rPr>
              <w:t xml:space="preserve">Tidak difokuskan</w:t>
            </w:r>
          </w:p>
        </w:tc>
        <w:tc>
          <w:tcPr>
            <w:tcW w:type="dxa" w:w="1773"/>
            <w:tcMar>
              <w:top w:type="dxa" w:w="80"/>
              <w:left w:type="dxa" w:w="100"/>
              <w:bottom w:type="dxa" w:w="80"/>
              <w:right w:type="dxa" w:w="100"/>
            </w:tcMar>
          </w:tcPr>
          <w:p>
            <w:pPr>
              <w:spacing w:line="264"/>
              <w:jc w:val="both"/>
            </w:pPr>
            <w:r>
              <w:rPr>
                <w:sz w:val="19"/>
                <w:szCs w:val="19"/>
              </w:rPr>
              <w:t xml:space="preserve">Ya, menjadi fokus utama</w:t>
            </w:r>
          </w:p>
        </w:tc>
        <w:tc>
          <w:tcPr>
            <w:tcW w:type="dxa" w:w="1981"/>
            <w:tcMar>
              <w:top w:type="dxa" w:w="80"/>
              <w:left w:type="dxa" w:w="100"/>
              <w:bottom w:type="dxa" w:w="80"/>
              <w:right w:type="dxa" w:w="100"/>
            </w:tcMar>
          </w:tcPr>
          <w:p>
            <w:pPr>
              <w:spacing w:line="264"/>
              <w:jc w:val="both"/>
            </w:pPr>
            <w:r>
              <w:rPr>
                <w:sz w:val="19"/>
                <w:szCs w:val="19"/>
              </w:rPr>
              <w:t xml:space="preserve">Tidak (out-of-scope MVP)</w:t>
            </w:r>
          </w:p>
        </w:tc>
      </w:tr>
      <w:tr>
        <w:tc>
          <w:tcPr>
            <w:tcW w:type="dxa" w:w="1773"/>
            <w:tcMar>
              <w:top w:type="dxa" w:w="80"/>
              <w:left w:type="dxa" w:w="100"/>
              <w:bottom w:type="dxa" w:w="80"/>
              <w:right w:type="dxa" w:w="100"/>
            </w:tcMar>
          </w:tcPr>
          <w:p>
            <w:pPr>
              <w:spacing w:line="264"/>
              <w:jc w:val="both"/>
            </w:pPr>
            <w:r>
              <w:rPr>
                <w:sz w:val="19"/>
                <w:szCs w:val="19"/>
              </w:rPr>
              <w:t xml:space="preserve">Aplikasi mobile native</w:t>
            </w:r>
          </w:p>
        </w:tc>
        <w:tc>
          <w:tcPr>
            <w:tcW w:type="dxa" w:w="1773"/>
            <w:tcMar>
              <w:top w:type="dxa" w:w="80"/>
              <w:left w:type="dxa" w:w="100"/>
              <w:bottom w:type="dxa" w:w="80"/>
              <w:right w:type="dxa" w:w="100"/>
            </w:tcMar>
          </w:tcPr>
          <w:p>
            <w:pPr>
              <w:spacing w:line="264"/>
              <w:jc w:val="both"/>
            </w:pPr>
            <w:r>
              <w:rPr>
                <w:sz w:val="19"/>
                <w:szCs w:val="19"/>
              </w:rPr>
              <w:t xml:space="preserve">Ya</w:t>
            </w:r>
          </w:p>
        </w:tc>
        <w:tc>
          <w:tcPr>
            <w:tcW w:type="dxa" w:w="1773"/>
            <w:tcMar>
              <w:top w:type="dxa" w:w="80"/>
              <w:left w:type="dxa" w:w="100"/>
              <w:bottom w:type="dxa" w:w="80"/>
              <w:right w:type="dxa" w:w="100"/>
            </w:tcMar>
          </w:tcPr>
          <w:p>
            <w:pPr>
              <w:spacing w:line="264"/>
              <w:jc w:val="both"/>
            </w:pPr>
            <w:r>
              <w:rPr>
                <w:sz w:val="19"/>
                <w:szCs w:val="19"/>
              </w:rPr>
              <w:t xml:space="preserve">Ya</w:t>
            </w:r>
          </w:p>
        </w:tc>
        <w:tc>
          <w:tcPr>
            <w:tcW w:type="dxa" w:w="1773"/>
            <w:tcMar>
              <w:top w:type="dxa" w:w="80"/>
              <w:left w:type="dxa" w:w="100"/>
              <w:bottom w:type="dxa" w:w="80"/>
              <w:right w:type="dxa" w:w="100"/>
            </w:tcMar>
          </w:tcPr>
          <w:p>
            <w:pPr>
              <w:spacing w:line="264"/>
              <w:jc w:val="both"/>
            </w:pPr>
            <w:r>
              <w:rPr>
                <w:sz w:val="19"/>
                <w:szCs w:val="19"/>
              </w:rPr>
              <w:t xml:space="preserve">Ya</w:t>
            </w:r>
          </w:p>
        </w:tc>
        <w:tc>
          <w:tcPr>
            <w:tcW w:type="dxa" w:w="1981"/>
            <w:tcMar>
              <w:top w:type="dxa" w:w="80"/>
              <w:left w:type="dxa" w:w="100"/>
              <w:bottom w:type="dxa" w:w="80"/>
              <w:right w:type="dxa" w:w="100"/>
            </w:tcMar>
          </w:tcPr>
          <w:p>
            <w:pPr>
              <w:spacing w:line="264"/>
              <w:jc w:val="both"/>
            </w:pPr>
            <w:r>
              <w:rPr>
                <w:sz w:val="19"/>
                <w:szCs w:val="19"/>
              </w:rPr>
              <w:t xml:space="preserve">Tidak (out-of-scope MVP)</w:t>
            </w:r>
          </w:p>
        </w:tc>
      </w:tr>
      <w:tr>
        <w:tc>
          <w:tcPr>
            <w:tcW w:type="dxa" w:w="1773"/>
            <w:tcMar>
              <w:top w:type="dxa" w:w="80"/>
              <w:left w:type="dxa" w:w="100"/>
              <w:bottom w:type="dxa" w:w="80"/>
              <w:right w:type="dxa" w:w="100"/>
            </w:tcMar>
          </w:tcPr>
          <w:p>
            <w:pPr>
              <w:spacing w:line="264"/>
              <w:jc w:val="both"/>
            </w:pPr>
            <w:r>
              <w:rPr>
                <w:sz w:val="19"/>
                <w:szCs w:val="19"/>
              </w:rPr>
              <w:t xml:space="preserve">Model bisnis</w:t>
            </w:r>
          </w:p>
        </w:tc>
        <w:tc>
          <w:tcPr>
            <w:tcW w:type="dxa" w:w="1773"/>
            <w:tcMar>
              <w:top w:type="dxa" w:w="80"/>
              <w:left w:type="dxa" w:w="100"/>
              <w:bottom w:type="dxa" w:w="80"/>
              <w:right w:type="dxa" w:w="100"/>
            </w:tcMar>
          </w:tcPr>
          <w:p>
            <w:pPr>
              <w:spacing w:line="264"/>
              <w:jc w:val="both"/>
            </w:pPr>
            <w:r>
              <w:rPr>
                <w:sz w:val="19"/>
                <w:szCs w:val="19"/>
              </w:rPr>
              <w:t xml:space="preserve">Berbayar (lisensi institusi)</w:t>
            </w:r>
          </w:p>
        </w:tc>
        <w:tc>
          <w:tcPr>
            <w:tcW w:type="dxa" w:w="1773"/>
            <w:tcMar>
              <w:top w:type="dxa" w:w="80"/>
              <w:left w:type="dxa" w:w="100"/>
              <w:bottom w:type="dxa" w:w="80"/>
              <w:right w:type="dxa" w:w="100"/>
            </w:tcMar>
          </w:tcPr>
          <w:p>
            <w:pPr>
              <w:spacing w:line="264"/>
              <w:jc w:val="both"/>
            </w:pPr>
            <w:r>
              <w:rPr>
                <w:sz w:val="19"/>
                <w:szCs w:val="19"/>
              </w:rPr>
              <w:t xml:space="preserve">Berbayar (lisensi institusi)</w:t>
            </w:r>
          </w:p>
        </w:tc>
        <w:tc>
          <w:tcPr>
            <w:tcW w:type="dxa" w:w="1773"/>
            <w:tcMar>
              <w:top w:type="dxa" w:w="80"/>
              <w:left w:type="dxa" w:w="100"/>
              <w:bottom w:type="dxa" w:w="80"/>
              <w:right w:type="dxa" w:w="100"/>
            </w:tcMar>
          </w:tcPr>
          <w:p>
            <w:pPr>
              <w:spacing w:line="264"/>
              <w:jc w:val="both"/>
            </w:pPr>
            <w:r>
              <w:rPr>
                <w:sz w:val="19"/>
                <w:szCs w:val="19"/>
              </w:rPr>
              <w:t xml:space="preserve">Freemium + biaya tiket</w:t>
            </w:r>
          </w:p>
        </w:tc>
        <w:tc>
          <w:tcPr>
            <w:tcW w:type="dxa" w:w="1981"/>
            <w:tcMar>
              <w:top w:type="dxa" w:w="80"/>
              <w:left w:type="dxa" w:w="100"/>
              <w:bottom w:type="dxa" w:w="80"/>
              <w:right w:type="dxa" w:w="100"/>
            </w:tcMar>
          </w:tcPr>
          <w:p>
            <w:pPr>
              <w:spacing w:line="264"/>
              <w:jc w:val="both"/>
            </w:pPr>
            <w:r>
              <w:rPr>
                <w:sz w:val="19"/>
                <w:szCs w:val="19"/>
              </w:rPr>
              <w:t xml:space="preserve">Internal, gratis (tugas kuliah)</w:t>
            </w:r>
          </w:p>
        </w:tc>
      </w:tr>
    </w:tbl>
    <w:p>
      <w:pPr>
        <w:spacing w:after="160"/>
      </w:pPr>
    </w:p>
    <w:p>
      <w:pPr>
        <w:pStyle w:val="Heading1"/>
        <w:spacing w:after="140" w:before="280"/>
      </w:pPr>
      <w:r>
        <w:rPr>
          <w:b/>
          <w:bCs/>
          <w:color w:val="1F3864"/>
        </w:rPr>
        <w:t xml:space="preserve">5. Masukan Teknis Kelayakan Fitur untuk Project Charter</w:t>
      </w:r>
    </w:p>
    <w:p>
      <w:pPr>
        <w:spacing w:after="160" w:line="276"/>
        <w:jc w:val="both"/>
      </w:pPr>
      <w:r>
        <w:t xml:space="preserve">Berdasarkan perbandingan di atas, berikut masukan teknis mengenai kelayakan fitur EventKu dalam lingkup satu semester:</w:t>
      </w:r>
    </w:p>
    <w:p>
      <w:pPr>
        <w:pStyle w:val="ListParagraph"/>
        <w:numPr>
          <w:ilvl w:val="0"/>
          <w:numId w:val="2"/>
        </w:numPr>
        <w:spacing w:after="80"/>
        <w:jc w:val="both"/>
      </w:pPr>
      <w:r>
        <w:rPr>
          <w:b/>
          <w:bCs/>
        </w:rPr>
        <w:t xml:space="preserve">Registrasi &amp; login berbasis peran</w:t>
      </w:r>
      <w:r>
        <w:t xml:space="preserve"> (mahasiswa, penyelenggara, admin) layak dan realistis diimplementasikan sejak Sprint 1, mengikuti pola otorisasi berbasis peran yang juga diterapkan CampusGroups.</w:t>
      </w:r>
    </w:p>
    <w:p>
      <w:pPr>
        <w:pStyle w:val="ListParagraph"/>
        <w:numPr>
          <w:ilvl w:val="0"/>
          <w:numId w:val="2"/>
        </w:numPr>
        <w:spacing w:after="80"/>
        <w:jc w:val="both"/>
      </w:pPr>
      <w:r>
        <w:rPr>
          <w:b/>
          <w:bCs/>
        </w:rPr>
        <w:t xml:space="preserve">Pengajuan &amp; moderasi event</w:t>
      </w:r>
      <w:r>
        <w:t xml:space="preserve"> layak diimplementasikan sebagai alur status sederhana (diajukan → disetujui/ditolak), tanpa perlu alur persetujuan berjenjang otomatis seperti CampusGroups yang kompleksitasnya melebihi kebutuhan MVP.</w:t>
      </w:r>
    </w:p>
    <w:p>
      <w:pPr>
        <w:pStyle w:val="ListParagraph"/>
        <w:numPr>
          <w:ilvl w:val="0"/>
          <w:numId w:val="2"/>
        </w:numPr>
        <w:spacing w:after="80"/>
        <w:jc w:val="both"/>
      </w:pPr>
      <w:r>
        <w:rPr>
          <w:b/>
          <w:bCs/>
        </w:rPr>
        <w:t xml:space="preserve">Pencarian &amp; filter event</w:t>
      </w:r>
      <w:r>
        <w:t xml:space="preserve"> layak dan penting untuk diprioritaskan tinggi karena menjadi fitur pembeda utama dibanding Eventbrite (yang tidak berbasis kampus) — direkomendasikan mengambil inspirasi dari kekuatan Presence pada sisi penemuan event.</w:t>
      </w:r>
    </w:p>
    <w:p>
      <w:pPr>
        <w:pStyle w:val="ListParagraph"/>
        <w:numPr>
          <w:ilvl w:val="0"/>
          <w:numId w:val="2"/>
        </w:numPr>
        <w:spacing w:after="80"/>
        <w:jc w:val="both"/>
      </w:pPr>
      <w:r>
        <w:rPr>
          <w:b/>
          <w:bCs/>
        </w:rPr>
        <w:t xml:space="preserve">Kalender event bulanan</w:t>
      </w:r>
      <w:r>
        <w:t xml:space="preserve"> layak diimplementasikan menggunakan pustaka kalender siap pakai (mis. FullCalendar) pada React, mengingat seluruh platform pembanding menyediakan fitur serupa dan pustaka pendukungnya sudah matang.</w:t>
      </w:r>
    </w:p>
    <w:p>
      <w:pPr>
        <w:pStyle w:val="ListParagraph"/>
        <w:numPr>
          <w:ilvl w:val="0"/>
          <w:numId w:val="2"/>
        </w:numPr>
        <w:spacing w:after="80"/>
        <w:jc w:val="both"/>
      </w:pPr>
      <w:r>
        <w:rPr>
          <w:b/>
          <w:bCs/>
        </w:rPr>
        <w:t xml:space="preserve">Notifikasi event</w:t>
      </w:r>
      <w:r>
        <w:t xml:space="preserve"> sebaiknya tetap berstatus </w:t>
      </w:r>
      <w:r>
        <w:rPr>
          <w:i/>
          <w:iCs/>
        </w:rPr>
        <w:t xml:space="preserve">nice-to-have</w:t>
      </w:r>
      <w:r>
        <w:t xml:space="preserve"> pada tahap awal (sesuai Product Backlog) karena memerlukan mekanisme tambahan (mis. pola Observer) yang lebih tepat dikerjakan setelah fitur inti (Auth, Event, RSVP) stabil.</w:t>
      </w:r>
    </w:p>
    <w:p>
      <w:pPr>
        <w:pStyle w:val="ListParagraph"/>
        <w:numPr>
          <w:ilvl w:val="0"/>
          <w:numId w:val="2"/>
        </w:numPr>
        <w:spacing w:after="80"/>
        <w:jc w:val="both"/>
      </w:pPr>
      <w:r>
        <w:rPr>
          <w:b/>
          <w:bCs/>
        </w:rPr>
        <w:t xml:space="preserve">Integrasi pembayaran/tiket berbayar dan aplikasi mobile native</w:t>
      </w:r>
      <w:r>
        <w:t xml:space="preserve">, yang menjadi fokus utama Eventbrite dan CampusGroups, dikonfirmasi tetap berada di luar lingkup (</w:t>
      </w:r>
      <w:r>
        <w:rPr>
          <w:i/>
          <w:iCs/>
        </w:rPr>
        <w:t xml:space="preserve">out-of-scope</w:t>
      </w:r>
      <w:r>
        <w:t xml:space="preserve">) EventKu untuk MVP semester ini, sejalan dengan cakupan proyek yang telah ditetapkan pada Rencana Proyek Minggu 1.</w:t>
      </w:r>
    </w:p>
    <w:p>
      <w:pPr>
        <w:pStyle w:val="Heading1"/>
        <w:spacing w:after="140" w:before="280"/>
      </w:pPr>
      <w:r>
        <w:rPr>
          <w:b/>
          <w:bCs/>
          <w:color w:val="1F3864"/>
        </w:rPr>
        <w:t xml:space="preserve">6. Kesimpulan</w:t>
      </w:r>
    </w:p>
    <w:p>
      <w:pPr>
        <w:spacing w:after="160" w:line="276"/>
        <w:jc w:val="both"/>
      </w:pPr>
      <w:r>
        <w:t xml:space="preserve">Ketiga platform pembanding menunjukkan bahwa kombinasi fitur registrasi berbasis peran, pengajuan &amp; moderasi event, pencarian/filter, RSVP, dan kalender sudah menjadi standar umum pada platform sejenis dan layak menjadi fitur inti EventKu. Fitur yang berkaitan dengan monetisasi, aplikasi mobile native, dan alur persetujuan organisasi yang kompleks disarankan tetap berada di luar lingkup MVP agar target penyelesaian dalam 16 minggu tetap realistis bagi tim beranggotakan empat orang.</w:t>
      </w:r>
    </w:p>
    <w:p>
      <w:pPr>
        <w:pStyle w:val="Heading1"/>
        <w:spacing w:after="140" w:before="280"/>
      </w:pPr>
      <w:r>
        <w:rPr>
          <w:b/>
          <w:bCs/>
          <w:color w:val="1F3864"/>
        </w:rPr>
        <w:t xml:space="preserve">Referensi</w:t>
      </w:r>
    </w:p>
    <w:p>
      <w:pPr>
        <w:pStyle w:val="ListParagraph"/>
        <w:numPr>
          <w:ilvl w:val="0"/>
          <w:numId w:val="3"/>
        </w:numPr>
        <w:spacing w:after="100"/>
        <w:jc w:val="both"/>
      </w:pPr>
      <w:r>
        <w:t xml:space="preserve">CampusGroups – Ready Education, Easy Campus Event Management &amp; Engagement with CampusGroups.  </w:t>
      </w:r>
      <w:hyperlink w:history="1" r:id="rIdw_rnfp4o5fro9fzffohzo">
        <w:r>
          <w:rPr>
            <w:rStyle w:val="Hyperlink"/>
            <w:sz w:val="18"/>
            <w:szCs w:val="18"/>
          </w:rPr>
          <w:t xml:space="preserve">https://www.readyeducation.com/articles/event-management-and-engagement-made-easy-with-campusgroups/</w:t>
        </w:r>
      </w:hyperlink>
    </w:p>
    <w:p>
      <w:pPr>
        <w:pStyle w:val="ListParagraph"/>
        <w:numPr>
          <w:ilvl w:val="0"/>
          <w:numId w:val="3"/>
        </w:numPr>
        <w:spacing w:after="100"/>
        <w:jc w:val="both"/>
      </w:pPr>
      <w:r>
        <w:t xml:space="preserve">Software Advice, CampusGroups: Benefits, Features &amp; Pricing.  </w:t>
      </w:r>
      <w:hyperlink w:history="1" r:id="rIdecfppnxuym3ak58uho9nr">
        <w:r>
          <w:rPr>
            <w:rStyle w:val="Hyperlink"/>
            <w:sz w:val="18"/>
            <w:szCs w:val="18"/>
          </w:rPr>
          <w:t xml:space="preserve">https://www.softwareadvice.com/event-management/campusgroups-profile/</w:t>
        </w:r>
      </w:hyperlink>
    </w:p>
    <w:p>
      <w:pPr>
        <w:pStyle w:val="ListParagraph"/>
        <w:numPr>
          <w:ilvl w:val="0"/>
          <w:numId w:val="3"/>
        </w:numPr>
        <w:spacing w:after="100"/>
        <w:jc w:val="both"/>
      </w:pPr>
      <w:r>
        <w:t xml:space="preserve">iCommunify, Best Student Engagement Platforms for Universities.  </w:t>
      </w:r>
      <w:hyperlink w:history="1" r:id="rId5f46lecu51voq3r9tscmd">
        <w:r>
          <w:rPr>
            <w:rStyle w:val="Hyperlink"/>
            <w:sz w:val="18"/>
            <w:szCs w:val="18"/>
          </w:rPr>
          <w:t xml:space="preserve">https://icommunify.com/blog/best-student-engagement-platforms-for-universities-in-2026</w:t>
        </w:r>
      </w:hyperlink>
    </w:p>
    <w:p>
      <w:pPr>
        <w:pStyle w:val="ListParagraph"/>
        <w:numPr>
          <w:ilvl w:val="0"/>
          <w:numId w:val="3"/>
        </w:numPr>
        <w:spacing w:after="100"/>
        <w:jc w:val="both"/>
      </w:pPr>
      <w:r>
        <w:t xml:space="preserve">Eventbrite, Free RSVP &amp; Event Registration Platform.  </w:t>
      </w:r>
      <w:hyperlink w:history="1" r:id="rIdxgiaftijlqadym11gavgh">
        <w:r>
          <w:rPr>
            <w:rStyle w:val="Hyperlink"/>
            <w:sz w:val="18"/>
            <w:szCs w:val="18"/>
          </w:rPr>
          <w:t xml:space="preserve">https://www.eventbrite.com/event-ticketing/rsvp/</w:t>
        </w:r>
      </w:hyperlink>
    </w:p>
    <w:p>
      <w:pPr>
        <w:pStyle w:val="ListParagraph"/>
        <w:numPr>
          <w:ilvl w:val="0"/>
          <w:numId w:val="3"/>
        </w:numPr>
        <w:spacing w:after="100"/>
        <w:jc w:val="both"/>
      </w:pPr>
      <w:r>
        <w:t xml:space="preserve">Eventbrite, Online Event Registration &amp; Management.  </w:t>
      </w:r>
      <w:hyperlink w:history="1" r:id="rIdd_izew-py8tambq0hsl81">
        <w:r>
          <w:rPr>
            <w:rStyle w:val="Hyperlink"/>
            <w:sz w:val="18"/>
            <w:szCs w:val="18"/>
          </w:rPr>
          <w:t xml:space="preserve">https://www.eventbrite.com/features/registration/</w:t>
        </w:r>
      </w:hyperlink>
    </w:p>
    <w:sectPr>
      <w:footerReference w:type="default" r:id="rId7"/>
      <w:pgSz w:w="11907" w:h="16840"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lvl>
  </w:abstractNum>
  <w:abstractNum w:abstractNumId="3" w15:restartNumberingAfterBreak="0">
    <w:multiLevelType w:val="hybridMultilevel"/>
    <w:lvl w:ilvl="0" w15:tentative="1">
      <w:start w:val="1"/>
      <w:numFmt w:val="decimal"/>
      <w:lvlText w:val="%1."/>
      <w:lvlJc w:val="start"/>
      <w:pPr>
        <w:ind w:left="420" w:hanging="300"/>
      </w:pPr>
    </w:lvl>
  </w:abstractNum>
  <w:abstractNum w:abstractNumId="4" w15:restartNumberingAfterBreak="0">
    <w:multiLevelType w:val="hybridMultilevel"/>
    <w:lvl w:ilvl="0" w15:tentative="1">
      <w:start w:val="1"/>
      <w:numFmt w:val="decimal"/>
      <w:lvlText w:val="%1."/>
      <w:lvlJc w:val="start"/>
      <w:pPr>
        <w:ind w:left="42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_rnfp4o5fro9fzffohzo" Type="http://schemas.openxmlformats.org/officeDocument/2006/relationships/hyperlink" Target="https://www.readyeducation.com/articles/event-management-and-engagement-made-easy-with-campusgroups/" TargetMode="External"/><Relationship Id="rIdecfppnxuym3ak58uho9nr" Type="http://schemas.openxmlformats.org/officeDocument/2006/relationships/hyperlink" Target="https://www.softwareadvice.com/event-management/campusgroups-profile/" TargetMode="External"/><Relationship Id="rId5f46lecu51voq3r9tscmd" Type="http://schemas.openxmlformats.org/officeDocument/2006/relationships/hyperlink" Target="https://icommunify.com/blog/best-student-engagement-platforms-for-universities-in-2026" TargetMode="External"/><Relationship Id="rIdxgiaftijlqadym11gavgh" Type="http://schemas.openxmlformats.org/officeDocument/2006/relationships/hyperlink" Target="https://www.eventbrite.com/event-ticketing/rsvp/" TargetMode="External"/><Relationship Id="rIdd_izew-py8tambq0hsl81" Type="http://schemas.openxmlformats.org/officeDocument/2006/relationships/hyperlink" Target="https://www.eventbrite.com/features/registratio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2026-09-07T08:35:28.731Z</dcterms:created>
  <dcterms:modified xsi:type="dcterms:W3CDTF">2026-09-07T08:35:28.746Z</dcterms:modified>
</cp:coreProperties>
</file>

<file path=docProps/custom.xml><?xml version="1.0" encoding="utf-8"?>
<Properties xmlns="http://schemas.openxmlformats.org/officeDocument/2006/custom-properties" xmlns:vt="http://schemas.openxmlformats.org/officeDocument/2006/docPropsVTypes"/>
</file>