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7"/>
          <w:szCs w:val="27"/>
        </w:rPr>
        <w:t xml:space="preserve">TUGAS INDIVIDU MINGGUAN — PROYEK EVENTKU</w:t>
      </w:r>
    </w:p>
    <w:p>
      <w:pPr>
        <w:spacing w:after="200"/>
        <w:jc w:val="center"/>
      </w:pPr>
      <w:r>
        <w:rPr>
          <w:i/>
          <w:iCs/>
          <w:sz w:val="23"/>
          <w:szCs w:val="23"/>
        </w:rPr>
        <w:t xml:space="preserve">Minggu 4: Fase Kebutuhan Fungsional &amp; Non-Fungsional</w:t>
      </w:r>
    </w:p>
    <w:tbl>
      <w:tblPr>
        <w:tblW w:type="dxa" w:w="9073"/>
        <w:tblBorders>
          <w:top w:val="none" w:color="FFFFFF" w:sz="0"/>
          <w:left w:val="none" w:color="FFFFFF" w:sz="0"/>
          <w:bottom w:val="none" w:color="FFFFFF" w:sz="0"/>
          <w:right w:val="none" w:color="FFFFFF" w:sz="0"/>
          <w:insideH w:val="none" w:color="FFFFFF" w:sz="0"/>
          <w:insideV w:val="none" w:color="FFFFFF" w:sz="0"/>
        </w:tblBorders>
      </w:tblPr>
      <w:tblGrid>
        <w:gridCol w:w="1996"/>
        <w:gridCol w:w="7077"/>
      </w:tblGrid>
      <w:tr>
        <w:tc>
          <w:tcPr>
            <w:tcW w:type="dxa" w:w="1996"/>
            <w:tcMar>
              <w:top w:type="dxa" w:w="40"/>
              <w:left w:type="dxa" w:w="0"/>
              <w:bottom w:type="dxa" w:w="40"/>
              <w:right w:type="dxa" w:w="60"/>
            </w:tcMar>
          </w:tcPr>
          <w:p>
            <w:r>
              <w:rPr>
                <w:b/>
                <w:bCs/>
                <w:sz w:val="20"/>
                <w:szCs w:val="20"/>
              </w:rPr>
              <w:t xml:space="preserve">Mata Kuliah</w:t>
            </w:r>
          </w:p>
        </w:tc>
        <w:tc>
          <w:tcPr>
            <w:tcW w:type="dxa" w:w="7077"/>
            <w:tcMar>
              <w:top w:type="dxa" w:w="40"/>
              <w:left w:type="dxa" w:w="0"/>
              <w:bottom w:type="dxa" w:w="40"/>
              <w:right w:type="dxa" w:w="0"/>
            </w:tcMar>
          </w:tcPr>
          <w:p>
            <w:r>
              <w:rPr>
                <w:sz w:val="20"/>
                <w:szCs w:val="20"/>
              </w:rPr>
              <w:t xml:space="preserve">: INF300 – Rekayasa Perangkat Lunak (3 sks)</w:t>
            </w:r>
          </w:p>
        </w:tc>
      </w:tr>
      <w:tr>
        <w:tc>
          <w:tcPr>
            <w:tcW w:type="dxa" w:w="1996"/>
            <w:tcMar>
              <w:top w:type="dxa" w:w="40"/>
              <w:left w:type="dxa" w:w="0"/>
              <w:bottom w:type="dxa" w:w="40"/>
              <w:right w:type="dxa" w:w="60"/>
            </w:tcMar>
          </w:tcPr>
          <w:p>
            <w:r>
              <w:rPr>
                <w:b/>
                <w:bCs/>
                <w:sz w:val="20"/>
                <w:szCs w:val="20"/>
              </w:rPr>
              <w:t xml:space="preserve">Dosen Pengampu</w:t>
            </w:r>
          </w:p>
        </w:tc>
        <w:tc>
          <w:tcPr>
            <w:tcW w:type="dxa" w:w="7077"/>
            <w:tcMar>
              <w:top w:type="dxa" w:w="40"/>
              <w:left w:type="dxa" w:w="0"/>
              <w:bottom w:type="dxa" w:w="40"/>
              <w:right w:type="dxa" w:w="0"/>
            </w:tcMar>
          </w:tcPr>
          <w:p>
            <w:r>
              <w:rPr>
                <w:sz w:val="20"/>
                <w:szCs w:val="20"/>
              </w:rPr>
              <w:t xml:space="preserve">: Ir. Drs. Peter Rhatodirdjo Angka, M.Kom., IPM., ASEAN Eng.</w:t>
            </w:r>
          </w:p>
        </w:tc>
      </w:tr>
      <w:tr>
        <w:tc>
          <w:tcPr>
            <w:tcW w:type="dxa" w:w="1996"/>
            <w:tcMar>
              <w:top w:type="dxa" w:w="40"/>
              <w:left w:type="dxa" w:w="0"/>
              <w:bottom w:type="dxa" w:w="40"/>
              <w:right w:type="dxa" w:w="60"/>
            </w:tcMar>
          </w:tcPr>
          <w:p>
            <w:r>
              <w:rPr>
                <w:b/>
                <w:bCs/>
                <w:sz w:val="20"/>
                <w:szCs w:val="20"/>
              </w:rPr>
              <w:t xml:space="preserve">Program Studi</w:t>
            </w:r>
          </w:p>
        </w:tc>
        <w:tc>
          <w:tcPr>
            <w:tcW w:type="dxa" w:w="7077"/>
            <w:tcMar>
              <w:top w:type="dxa" w:w="40"/>
              <w:left w:type="dxa" w:w="0"/>
              <w:bottom w:type="dxa" w:w="40"/>
              <w:right w:type="dxa" w:w="0"/>
            </w:tcMar>
          </w:tcPr>
          <w:p>
            <w:r>
              <w:rPr>
                <w:sz w:val="20"/>
                <w:szCs w:val="20"/>
              </w:rPr>
              <w:t xml:space="preserve">: S1 Informatika, Fakultas Teknik – UKWMS</w:t>
            </w:r>
          </w:p>
        </w:tc>
      </w:tr>
      <w:tr>
        <w:tc>
          <w:tcPr>
            <w:tcW w:type="dxa" w:w="1996"/>
            <w:tcMar>
              <w:top w:type="dxa" w:w="40"/>
              <w:left w:type="dxa" w:w="0"/>
              <w:bottom w:type="dxa" w:w="40"/>
              <w:right w:type="dxa" w:w="60"/>
            </w:tcMar>
          </w:tcPr>
          <w:p>
            <w:r>
              <w:rPr>
                <w:b/>
                <w:bCs/>
                <w:sz w:val="20"/>
                <w:szCs w:val="20"/>
              </w:rPr>
              <w:t xml:space="preserve">Semester</w:t>
            </w:r>
          </w:p>
        </w:tc>
        <w:tc>
          <w:tcPr>
            <w:tcW w:type="dxa" w:w="7077"/>
            <w:tcMar>
              <w:top w:type="dxa" w:w="40"/>
              <w:left w:type="dxa" w:w="0"/>
              <w:bottom w:type="dxa" w:w="40"/>
              <w:right w:type="dxa" w:w="0"/>
            </w:tcMar>
          </w:tcPr>
          <w:p>
            <w:r>
              <w:rPr>
                <w:sz w:val="20"/>
                <w:szCs w:val="20"/>
              </w:rPr>
              <w:t xml:space="preserve">: Gasal 2026/2027</w:t>
            </w:r>
          </w:p>
        </w:tc>
      </w:tr>
      <w:tr>
        <w:tc>
          <w:tcPr>
            <w:tcW w:type="dxa" w:w="1996"/>
            <w:tcMar>
              <w:top w:type="dxa" w:w="40"/>
              <w:left w:type="dxa" w:w="0"/>
              <w:bottom w:type="dxa" w:w="40"/>
              <w:right w:type="dxa" w:w="60"/>
            </w:tcMar>
          </w:tcPr>
          <w:p>
            <w:r>
              <w:rPr>
                <w:b/>
                <w:bCs/>
                <w:sz w:val="20"/>
                <w:szCs w:val="20"/>
              </w:rPr>
              <w:t xml:space="preserve">Kelompok</w:t>
            </w:r>
          </w:p>
        </w:tc>
        <w:tc>
          <w:tcPr>
            <w:tcW w:type="dxa" w:w="7077"/>
            <w:tcMar>
              <w:top w:type="dxa" w:w="40"/>
              <w:left w:type="dxa" w:w="0"/>
              <w:bottom w:type="dxa" w:w="40"/>
              <w:right w:type="dxa" w:w="0"/>
            </w:tcMar>
          </w:tcPr>
          <w:p>
            <w:r>
              <w:rPr>
                <w:sz w:val="20"/>
                <w:szCs w:val="20"/>
              </w:rPr>
              <w:t xml:space="preserve">: Kelompok IV</w:t>
            </w:r>
          </w:p>
        </w:tc>
      </w:tr>
      <w:tr>
        <w:tc>
          <w:tcPr>
            <w:tcW w:type="dxa" w:w="1996"/>
            <w:tcMar>
              <w:top w:type="dxa" w:w="40"/>
              <w:left w:type="dxa" w:w="0"/>
              <w:bottom w:type="dxa" w:w="40"/>
              <w:right w:type="dxa" w:w="60"/>
            </w:tcMar>
          </w:tcPr>
          <w:p>
            <w:r>
              <w:rPr>
                <w:b/>
                <w:bCs/>
                <w:sz w:val="20"/>
                <w:szCs w:val="20"/>
              </w:rPr>
              <w:t xml:space="preserve">Disusun oleh</w:t>
            </w:r>
          </w:p>
        </w:tc>
        <w:tc>
          <w:tcPr>
            <w:tcW w:type="dxa" w:w="7077"/>
            <w:tcMar>
              <w:top w:type="dxa" w:w="40"/>
              <w:left w:type="dxa" w:w="0"/>
              <w:bottom w:type="dxa" w:w="40"/>
              <w:right w:type="dxa" w:w="0"/>
            </w:tcMar>
          </w:tcPr>
          <w:p>
            <w:r>
              <w:rPr>
                <w:sz w:val="20"/>
                <w:szCs w:val="20"/>
              </w:rPr>
              <w:t xml:space="preserve">: Bambang (5803024019) – System Architect &amp; Frontend Developer</w:t>
            </w:r>
          </w:p>
        </w:tc>
      </w:tr>
      <w:tr>
        <w:tc>
          <w:tcPr>
            <w:tcW w:type="dxa" w:w="1996"/>
            <w:tcMar>
              <w:top w:type="dxa" w:w="40"/>
              <w:left w:type="dxa" w:w="0"/>
              <w:bottom w:type="dxa" w:w="40"/>
              <w:right w:type="dxa" w:w="60"/>
            </w:tcMar>
          </w:tcPr>
          <w:p>
            <w:r>
              <w:rPr>
                <w:b/>
                <w:bCs/>
                <w:sz w:val="20"/>
                <w:szCs w:val="20"/>
              </w:rPr>
              <w:t xml:space="preserve">Output Individu</w:t>
            </w:r>
          </w:p>
        </w:tc>
        <w:tc>
          <w:tcPr>
            <w:tcW w:type="dxa" w:w="7077"/>
            <w:tcMar>
              <w:top w:type="dxa" w:w="40"/>
              <w:left w:type="dxa" w:w="0"/>
              <w:bottom w:type="dxa" w:w="40"/>
              <w:right w:type="dxa" w:w="0"/>
            </w:tcMar>
          </w:tcPr>
          <w:p>
            <w:r>
              <w:rPr>
                <w:sz w:val="20"/>
                <w:szCs w:val="20"/>
              </w:rPr>
              <w:t xml:space="preserve">: Bagian NFR – Skalabilitas &amp; Performa (untuk SRS Lengkap v2)</w:t>
            </w:r>
          </w:p>
        </w:tc>
      </w:tr>
    </w:tbl>
    <w:p>
      <w:pPr>
        <w:pBdr>
          <w:bottom w:val="single" w:color="1F3864" w:sz="8"/>
        </w:pBdr>
        <w:spacing w:after="200" w:before="120"/>
      </w:pPr>
    </w:p>
    <w:p>
      <w:pPr>
        <w:pStyle w:val="Heading1"/>
        <w:spacing w:after="140" w:before="280"/>
      </w:pPr>
      <w:r>
        <w:rPr>
          <w:b/>
          <w:bCs/>
          <w:color w:val="1F3864"/>
        </w:rPr>
        <w:t xml:space="preserve">1. Pendahuluan</w:t>
      </w:r>
    </w:p>
    <w:p>
      <w:pPr>
        <w:spacing w:after="160" w:line="276"/>
        <w:jc w:val="both"/>
      </w:pPr>
      <w:r>
        <w:t xml:space="preserve">Bagian ini merumuskan kebutuhan non-fungsional (</w:t>
      </w:r>
      <w:r>
        <w:rPr>
          <w:i/>
          <w:iCs/>
        </w:rPr>
        <w:t xml:space="preserve">Non-Functional Requirements</w:t>
      </w:r>
      <w:r>
        <w:t xml:space="preserve">, NFR) EventKu pada aspek </w:t>
      </w:r>
      <w:r>
        <w:rPr>
          <w:b/>
          <w:bCs/>
        </w:rPr>
        <w:t xml:space="preserve">skalabilitas</w:t>
      </w:r>
      <w:r>
        <w:t xml:space="preserve">, </w:t>
      </w:r>
      <w:r>
        <w:rPr>
          <w:b/>
          <w:bCs/>
        </w:rPr>
        <w:t xml:space="preserve">modularitas sistem</w:t>
      </w:r>
      <w:r>
        <w:t xml:space="preserve">, dan </w:t>
      </w:r>
      <w:r>
        <w:rPr>
          <w:b/>
          <w:bCs/>
        </w:rPr>
        <w:t xml:space="preserve">performa API</w:t>
      </w:r>
      <w:r>
        <w:t xml:space="preserve">, untuk dikonsolidasikan oleh Project Manager ke dalam Dokumen SRS Lengkap v2 (Milestone Minggu 4). Rumusan NFR ini melanjutkan keputusan arsitektur </w:t>
      </w:r>
      <w:r>
        <w:rPr>
          <w:i/>
          <w:iCs/>
        </w:rPr>
        <w:t xml:space="preserve">Modular API (Modular Monolith)</w:t>
      </w:r>
      <w:r>
        <w:t xml:space="preserve"> yang telah disusun pada Minggu 2, sehingga setiap kebutuhan non-fungsional di bawah ini secara eksplisit dikaitkan dengan konsekuensi arsitektural yang harus dijaga tim saat implementasi pada Sprint 1–3.</w:t>
      </w:r>
    </w:p>
    <w:p>
      <w:pPr>
        <w:pStyle w:val="Heading1"/>
        <w:spacing w:after="140" w:before="280"/>
      </w:pPr>
      <w:r>
        <w:rPr>
          <w:b/>
          <w:bCs/>
          <w:color w:val="1F3864"/>
        </w:rPr>
        <w:t xml:space="preserve">2. NFR – Skalabilitas</w:t>
      </w:r>
    </w:p>
    <w:tbl>
      <w:tblPr>
        <w:tblW w:type="dxa" w:w="9073"/>
        <w:tblBorders>
          <w:top w:val="single" w:color="1F3864" w:sz="4"/>
          <w:left w:val="none" w:color="FFFFFF" w:sz="0"/>
          <w:bottom w:val="single" w:color="1F3864" w:sz="4"/>
          <w:right w:val="none" w:color="FFFFFF" w:sz="0"/>
          <w:insideH w:val="single" w:color="AAAAAA" w:sz="2"/>
          <w:insideV w:val="none" w:color="FFFFFF" w:sz="0"/>
        </w:tblBorders>
      </w:tblPr>
      <w:tblGrid>
        <w:gridCol w:w="1296"/>
        <w:gridCol w:w="6091"/>
        <w:gridCol w:w="1686"/>
      </w:tblGrid>
      <w:tr>
        <w:trPr>
          <w:tblHeader/>
        </w:trPr>
        <w:tc>
          <w:tcPr>
            <w:tcW w:type="dxa" w:w="1296"/>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ID</w:t>
            </w:r>
          </w:p>
        </w:tc>
        <w:tc>
          <w:tcPr>
            <w:tcW w:type="dxa" w:w="6091"/>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Kebutuhan</w:t>
            </w:r>
          </w:p>
        </w:tc>
        <w:tc>
          <w:tcPr>
            <w:tcW w:type="dxa" w:w="1686"/>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Target/Ukuran</w:t>
            </w:r>
          </w:p>
        </w:tc>
      </w:tr>
      <w:tr>
        <w:tc>
          <w:tcPr>
            <w:tcW w:type="dxa" w:w="1296"/>
            <w:tcMar>
              <w:top w:type="dxa" w:w="80"/>
              <w:left w:type="dxa" w:w="100"/>
              <w:bottom w:type="dxa" w:w="80"/>
              <w:right w:type="dxa" w:w="100"/>
            </w:tcMar>
          </w:tcPr>
          <w:p>
            <w:pPr>
              <w:spacing w:line="264"/>
              <w:jc w:val="both"/>
            </w:pPr>
            <w:r>
              <w:rPr>
                <w:sz w:val="19"/>
                <w:szCs w:val="19"/>
              </w:rPr>
              <w:t xml:space="preserve">NFR-SCAL-01</w:t>
            </w:r>
          </w:p>
        </w:tc>
        <w:tc>
          <w:tcPr>
            <w:tcW w:type="dxa" w:w="6091"/>
            <w:tcMar>
              <w:top w:type="dxa" w:w="80"/>
              <w:left w:type="dxa" w:w="100"/>
              <w:bottom w:type="dxa" w:w="80"/>
              <w:right w:type="dxa" w:w="100"/>
            </w:tcMar>
          </w:tcPr>
          <w:p>
            <w:pPr>
              <w:spacing w:line="264"/>
              <w:jc w:val="both"/>
            </w:pPr>
            <w:r>
              <w:rPr>
                <w:sz w:val="19"/>
                <w:szCs w:val="19"/>
              </w:rPr>
              <w:t xml:space="preserve">Sistem harus mampu menangani pertumbuhan jumlah event dan pengguna aktif tanpa memerlukan perombakan arsitektur, khususnya pada periode lonjakan pengajuan event dari banyak UKM/organisasi sekaligus (mis. awal semester), sebagaimana telah diidentifikasi sebagai risiko pada Rencana Proyek.</w:t>
            </w:r>
          </w:p>
        </w:tc>
        <w:tc>
          <w:tcPr>
            <w:tcW w:type="dxa" w:w="1686"/>
            <w:tcMar>
              <w:top w:type="dxa" w:w="80"/>
              <w:left w:type="dxa" w:w="100"/>
              <w:bottom w:type="dxa" w:w="80"/>
              <w:right w:type="dxa" w:w="100"/>
            </w:tcMar>
          </w:tcPr>
          <w:p>
            <w:pPr>
              <w:spacing w:line="264"/>
              <w:jc w:val="both"/>
            </w:pPr>
            <w:r>
              <w:rPr>
                <w:sz w:val="19"/>
                <w:szCs w:val="19"/>
              </w:rPr>
              <w:t xml:space="preserve">Wajar untuk skala MVP kampus: minimal 500 pengguna terdaftar dan 50 event aktif tanpa penurunan performa terasa.</w:t>
            </w:r>
          </w:p>
        </w:tc>
      </w:tr>
      <w:tr>
        <w:tc>
          <w:tcPr>
            <w:tcW w:type="dxa" w:w="1296"/>
            <w:tcMar>
              <w:top w:type="dxa" w:w="80"/>
              <w:left w:type="dxa" w:w="100"/>
              <w:bottom w:type="dxa" w:w="80"/>
              <w:right w:type="dxa" w:w="100"/>
            </w:tcMar>
          </w:tcPr>
          <w:p>
            <w:pPr>
              <w:spacing w:line="264"/>
              <w:jc w:val="both"/>
            </w:pPr>
            <w:r>
              <w:rPr>
                <w:sz w:val="19"/>
                <w:szCs w:val="19"/>
              </w:rPr>
              <w:t xml:space="preserve">NFR-SCAL-02</w:t>
            </w:r>
          </w:p>
        </w:tc>
        <w:tc>
          <w:tcPr>
            <w:tcW w:type="dxa" w:w="6091"/>
            <w:tcMar>
              <w:top w:type="dxa" w:w="80"/>
              <w:left w:type="dxa" w:w="100"/>
              <w:bottom w:type="dxa" w:w="80"/>
              <w:right w:type="dxa" w:w="100"/>
            </w:tcMar>
          </w:tcPr>
          <w:p>
            <w:pPr>
              <w:spacing w:line="264"/>
              <w:jc w:val="both"/>
            </w:pPr>
            <w:r>
              <w:rPr>
                <w:sz w:val="19"/>
                <w:szCs w:val="19"/>
              </w:rPr>
              <w:t xml:space="preserve">Basis data harus dirancang dengan indeks pada kolom yang sering digunakan untuk pencarian dan penyaringan event (kategori, tanggal, status, penyelenggara) agar waktu respons kueri tetap stabil seiring bertambahnya data event.</w:t>
            </w:r>
          </w:p>
        </w:tc>
        <w:tc>
          <w:tcPr>
            <w:tcW w:type="dxa" w:w="1686"/>
            <w:tcMar>
              <w:top w:type="dxa" w:w="80"/>
              <w:left w:type="dxa" w:w="100"/>
              <w:bottom w:type="dxa" w:w="80"/>
              <w:right w:type="dxa" w:w="100"/>
            </w:tcMar>
          </w:tcPr>
          <w:p>
            <w:pPr>
              <w:spacing w:line="264"/>
              <w:jc w:val="both"/>
            </w:pPr>
            <w:r>
              <w:rPr>
                <w:sz w:val="19"/>
                <w:szCs w:val="19"/>
              </w:rPr>
              <w:t xml:space="preserve">Waktu eksekusi kueri pencarian tetap di bawah 300ms pada data hingga ±5.000 baris event (skala uji staging).</w:t>
            </w:r>
          </w:p>
        </w:tc>
      </w:tr>
      <w:tr>
        <w:tc>
          <w:tcPr>
            <w:tcW w:type="dxa" w:w="1296"/>
            <w:tcMar>
              <w:top w:type="dxa" w:w="80"/>
              <w:left w:type="dxa" w:w="100"/>
              <w:bottom w:type="dxa" w:w="80"/>
              <w:right w:type="dxa" w:w="100"/>
            </w:tcMar>
          </w:tcPr>
          <w:p>
            <w:pPr>
              <w:spacing w:line="264"/>
              <w:jc w:val="both"/>
            </w:pPr>
            <w:r>
              <w:rPr>
                <w:sz w:val="19"/>
                <w:szCs w:val="19"/>
              </w:rPr>
              <w:t xml:space="preserve">NFR-SCAL-03</w:t>
            </w:r>
          </w:p>
        </w:tc>
        <w:tc>
          <w:tcPr>
            <w:tcW w:type="dxa" w:w="6091"/>
            <w:tcMar>
              <w:top w:type="dxa" w:w="80"/>
              <w:left w:type="dxa" w:w="100"/>
              <w:bottom w:type="dxa" w:w="80"/>
              <w:right w:type="dxa" w:w="100"/>
            </w:tcMar>
          </w:tcPr>
          <w:p>
            <w:pPr>
              <w:spacing w:line="264"/>
              <w:jc w:val="both"/>
            </w:pPr>
            <w:r>
              <w:rPr>
                <w:sz w:val="19"/>
                <w:szCs w:val="19"/>
              </w:rPr>
              <w:t xml:space="preserve">Layer akses data (repository) pada tiap modul harus independen terhadap penyimpanan fisik, sehingga peningkatan kapasitas basis data (mis. migrasi ke instans lebih besar) tidak memerlukan perubahan logika bisnis di modul manapun.</w:t>
            </w:r>
          </w:p>
        </w:tc>
        <w:tc>
          <w:tcPr>
            <w:tcW w:type="dxa" w:w="1686"/>
            <w:tcMar>
              <w:top w:type="dxa" w:w="80"/>
              <w:left w:type="dxa" w:w="100"/>
              <w:bottom w:type="dxa" w:w="80"/>
              <w:right w:type="dxa" w:w="100"/>
            </w:tcMar>
          </w:tcPr>
          <w:p>
            <w:pPr>
              <w:spacing w:line="264"/>
              <w:jc w:val="both"/>
            </w:pPr>
            <w:r>
              <w:rPr>
                <w:sz w:val="19"/>
                <w:szCs w:val="19"/>
              </w:rPr>
              <w:t xml:space="preserve">Tidak ada perubahan kode pada lapisan service/controller saat konfigurasi basis data ditingkatkan.</w:t>
            </w:r>
          </w:p>
        </w:tc>
      </w:tr>
    </w:tbl>
    <w:p>
      <w:pPr>
        <w:spacing w:after="200"/>
      </w:pPr>
    </w:p>
    <w:p>
      <w:pPr>
        <w:pStyle w:val="Heading1"/>
        <w:spacing w:after="140" w:before="280"/>
      </w:pPr>
      <w:r>
        <w:rPr>
          <w:b/>
          <w:bCs/>
          <w:color w:val="1F3864"/>
        </w:rPr>
        <w:t xml:space="preserve">3. NFR – Modularitas Sistem</w:t>
      </w:r>
    </w:p>
    <w:tbl>
      <w:tblPr>
        <w:tblW w:type="dxa" w:w="9073"/>
        <w:tblBorders>
          <w:top w:val="single" w:color="1F3864" w:sz="4"/>
          <w:left w:val="none" w:color="FFFFFF" w:sz="0"/>
          <w:bottom w:val="single" w:color="1F3864" w:sz="4"/>
          <w:right w:val="none" w:color="FFFFFF" w:sz="0"/>
          <w:insideH w:val="single" w:color="AAAAAA" w:sz="2"/>
          <w:insideV w:val="none" w:color="FFFFFF" w:sz="0"/>
        </w:tblBorders>
      </w:tblPr>
      <w:tblGrid>
        <w:gridCol w:w="1296"/>
        <w:gridCol w:w="6091"/>
        <w:gridCol w:w="1686"/>
      </w:tblGrid>
      <w:tr>
        <w:trPr>
          <w:tblHeader/>
        </w:trPr>
        <w:tc>
          <w:tcPr>
            <w:tcW w:type="dxa" w:w="1296"/>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ID</w:t>
            </w:r>
          </w:p>
        </w:tc>
        <w:tc>
          <w:tcPr>
            <w:tcW w:type="dxa" w:w="6091"/>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Kebutuhan</w:t>
            </w:r>
          </w:p>
        </w:tc>
        <w:tc>
          <w:tcPr>
            <w:tcW w:type="dxa" w:w="1686"/>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Target/Ukuran</w:t>
            </w:r>
          </w:p>
        </w:tc>
      </w:tr>
      <w:tr>
        <w:tc>
          <w:tcPr>
            <w:tcW w:type="dxa" w:w="1296"/>
            <w:tcMar>
              <w:top w:type="dxa" w:w="80"/>
              <w:left w:type="dxa" w:w="100"/>
              <w:bottom w:type="dxa" w:w="80"/>
              <w:right w:type="dxa" w:w="100"/>
            </w:tcMar>
          </w:tcPr>
          <w:p>
            <w:pPr>
              <w:spacing w:line="264"/>
              <w:jc w:val="both"/>
            </w:pPr>
            <w:r>
              <w:rPr>
                <w:sz w:val="19"/>
                <w:szCs w:val="19"/>
              </w:rPr>
              <w:t xml:space="preserve">NFR-MOD-01</w:t>
            </w:r>
          </w:p>
        </w:tc>
        <w:tc>
          <w:tcPr>
            <w:tcW w:type="dxa" w:w="6091"/>
            <w:tcMar>
              <w:top w:type="dxa" w:w="80"/>
              <w:left w:type="dxa" w:w="100"/>
              <w:bottom w:type="dxa" w:w="80"/>
              <w:right w:type="dxa" w:w="100"/>
            </w:tcMar>
          </w:tcPr>
          <w:p>
            <w:pPr>
              <w:spacing w:line="264"/>
              <w:jc w:val="both"/>
            </w:pPr>
            <w:r>
              <w:rPr>
                <w:sz w:val="19"/>
                <w:szCs w:val="19"/>
              </w:rPr>
              <w:t xml:space="preserve">Backend harus disusun dalam modul-modul terpisah secara logis (Auth, Event, Pendaftaran/RSVP, Notifikasi) dengan batas tanggung jawab yang jelas, sesuai keputusan arsitektur Modular API pada Minggu 2, sehingga tiap modul dapat dikembangkan dan diuji secara independen oleh anggota tim yang berbeda.</w:t>
            </w:r>
          </w:p>
        </w:tc>
        <w:tc>
          <w:tcPr>
            <w:tcW w:type="dxa" w:w="1686"/>
            <w:tcMar>
              <w:top w:type="dxa" w:w="80"/>
              <w:left w:type="dxa" w:w="100"/>
              <w:bottom w:type="dxa" w:w="80"/>
              <w:right w:type="dxa" w:w="100"/>
            </w:tcMar>
          </w:tcPr>
          <w:p>
            <w:pPr>
              <w:spacing w:line="264"/>
              <w:jc w:val="both"/>
            </w:pPr>
            <w:r>
              <w:rPr>
                <w:sz w:val="19"/>
                <w:szCs w:val="19"/>
              </w:rPr>
              <w:t xml:space="preserve">Setiap modul memiliki folder/namespace dan test suite Jest tersendiri.</w:t>
            </w:r>
          </w:p>
        </w:tc>
      </w:tr>
      <w:tr>
        <w:tc>
          <w:tcPr>
            <w:tcW w:type="dxa" w:w="1296"/>
            <w:tcMar>
              <w:top w:type="dxa" w:w="80"/>
              <w:left w:type="dxa" w:w="100"/>
              <w:bottom w:type="dxa" w:w="80"/>
              <w:right w:type="dxa" w:w="100"/>
            </w:tcMar>
          </w:tcPr>
          <w:p>
            <w:pPr>
              <w:spacing w:line="264"/>
              <w:jc w:val="both"/>
            </w:pPr>
            <w:r>
              <w:rPr>
                <w:sz w:val="19"/>
                <w:szCs w:val="19"/>
              </w:rPr>
              <w:t xml:space="preserve">NFR-MOD-02</w:t>
            </w:r>
          </w:p>
        </w:tc>
        <w:tc>
          <w:tcPr>
            <w:tcW w:type="dxa" w:w="6091"/>
            <w:tcMar>
              <w:top w:type="dxa" w:w="80"/>
              <w:left w:type="dxa" w:w="100"/>
              <w:bottom w:type="dxa" w:w="80"/>
              <w:right w:type="dxa" w:w="100"/>
            </w:tcMar>
          </w:tcPr>
          <w:p>
            <w:pPr>
              <w:spacing w:line="264"/>
              <w:jc w:val="both"/>
            </w:pPr>
            <w:r>
              <w:rPr>
                <w:sz w:val="19"/>
                <w:szCs w:val="19"/>
              </w:rPr>
              <w:t xml:space="preserve">Setiap modul harus mengakses data melalui lapisan Repository Pattern, bukan langsung ke basis data dari controller/route, sehingga implementasi penyimpanan dapat diganti atau dioptimasi tanpa mengubah logika bisnis modul terkait.</w:t>
            </w:r>
          </w:p>
        </w:tc>
        <w:tc>
          <w:tcPr>
            <w:tcW w:type="dxa" w:w="1686"/>
            <w:tcMar>
              <w:top w:type="dxa" w:w="80"/>
              <w:left w:type="dxa" w:w="100"/>
              <w:bottom w:type="dxa" w:w="80"/>
              <w:right w:type="dxa" w:w="100"/>
            </w:tcMar>
          </w:tcPr>
          <w:p>
            <w:pPr>
              <w:spacing w:line="264"/>
              <w:jc w:val="both"/>
            </w:pPr>
            <w:r>
              <w:rPr>
                <w:sz w:val="19"/>
                <w:szCs w:val="19"/>
              </w:rPr>
              <w:t xml:space="preserve">100% akses data pada modul Auth &amp; Event melalui repository, diverifikasi lewat code review sebelum merge ke branch </w:t>
            </w:r>
            <w:r>
              <w:rPr>
                <w:rFonts w:ascii="Consolas" w:cs="Consolas" w:eastAsia="Consolas" w:hAnsi="Consolas"/>
                <w:sz w:val="19"/>
                <w:szCs w:val="19"/>
              </w:rPr>
              <w:t xml:space="preserve">develop</w:t>
            </w:r>
            <w:r>
              <w:rPr>
                <w:sz w:val="19"/>
                <w:szCs w:val="19"/>
              </w:rPr>
              <w:t xml:space="preserve">.</w:t>
            </w:r>
          </w:p>
        </w:tc>
      </w:tr>
      <w:tr>
        <w:tc>
          <w:tcPr>
            <w:tcW w:type="dxa" w:w="1296"/>
            <w:tcMar>
              <w:top w:type="dxa" w:w="80"/>
              <w:left w:type="dxa" w:w="100"/>
              <w:bottom w:type="dxa" w:w="80"/>
              <w:right w:type="dxa" w:w="100"/>
            </w:tcMar>
          </w:tcPr>
          <w:p>
            <w:pPr>
              <w:spacing w:line="264"/>
              <w:jc w:val="both"/>
            </w:pPr>
            <w:r>
              <w:rPr>
                <w:sz w:val="19"/>
                <w:szCs w:val="19"/>
              </w:rPr>
              <w:t xml:space="preserve">NFR-MOD-03</w:t>
            </w:r>
          </w:p>
        </w:tc>
        <w:tc>
          <w:tcPr>
            <w:tcW w:type="dxa" w:w="6091"/>
            <w:tcMar>
              <w:top w:type="dxa" w:w="80"/>
              <w:left w:type="dxa" w:w="100"/>
              <w:bottom w:type="dxa" w:w="80"/>
              <w:right w:type="dxa" w:w="100"/>
            </w:tcMar>
          </w:tcPr>
          <w:p>
            <w:pPr>
              <w:spacing w:line="264"/>
              <w:jc w:val="both"/>
            </w:pPr>
            <w:r>
              <w:rPr>
                <w:sz w:val="19"/>
                <w:szCs w:val="19"/>
              </w:rPr>
              <w:t xml:space="preserve">Kontrak API antar modul dan antara frontend-backend harus didokumentasikan (mis. lewat koleksi Postman) dan dikelola versinya, sehingga perubahan pada satu modul tidak merusak integrasi modul lain secara tidak terduga.</w:t>
            </w:r>
          </w:p>
        </w:tc>
        <w:tc>
          <w:tcPr>
            <w:tcW w:type="dxa" w:w="1686"/>
            <w:tcMar>
              <w:top w:type="dxa" w:w="80"/>
              <w:left w:type="dxa" w:w="100"/>
              <w:bottom w:type="dxa" w:w="80"/>
              <w:right w:type="dxa" w:w="100"/>
            </w:tcMar>
          </w:tcPr>
          <w:p>
            <w:pPr>
              <w:spacing w:line="264"/>
              <w:jc w:val="both"/>
            </w:pPr>
            <w:r>
              <w:rPr>
                <w:sz w:val="19"/>
                <w:szCs w:val="19"/>
              </w:rPr>
              <w:t xml:space="preserve">Setiap endpoint publik memiliki entri terdokumentasi di koleksi Postman sebelum dikonsumsi frontend.</w:t>
            </w:r>
          </w:p>
        </w:tc>
      </w:tr>
      <w:tr>
        <w:tc>
          <w:tcPr>
            <w:tcW w:type="dxa" w:w="1296"/>
            <w:tcMar>
              <w:top w:type="dxa" w:w="80"/>
              <w:left w:type="dxa" w:w="100"/>
              <w:bottom w:type="dxa" w:w="80"/>
              <w:right w:type="dxa" w:w="100"/>
            </w:tcMar>
          </w:tcPr>
          <w:p>
            <w:pPr>
              <w:spacing w:line="264"/>
              <w:jc w:val="both"/>
            </w:pPr>
            <w:r>
              <w:rPr>
                <w:sz w:val="19"/>
                <w:szCs w:val="19"/>
              </w:rPr>
              <w:t xml:space="preserve">NFR-MOD-04</w:t>
            </w:r>
          </w:p>
        </w:tc>
        <w:tc>
          <w:tcPr>
            <w:tcW w:type="dxa" w:w="6091"/>
            <w:tcMar>
              <w:top w:type="dxa" w:w="80"/>
              <w:left w:type="dxa" w:w="100"/>
              <w:bottom w:type="dxa" w:w="80"/>
              <w:right w:type="dxa" w:w="100"/>
            </w:tcMar>
          </w:tcPr>
          <w:p>
            <w:pPr>
              <w:spacing w:line="264"/>
              <w:jc w:val="both"/>
            </w:pPr>
            <w:r>
              <w:rPr>
                <w:sz w:val="19"/>
                <w:szCs w:val="19"/>
              </w:rPr>
              <w:t xml:space="preserve">Modul Notifikasi harus berkomunikasi dengan modul Event melalui mekanisme </w:t>
            </w:r>
            <w:r>
              <w:rPr>
                <w:i/>
                <w:iCs/>
                <w:sz w:val="19"/>
                <w:szCs w:val="19"/>
              </w:rPr>
              <w:t xml:space="preserve">event-driven</w:t>
            </w:r>
            <w:r>
              <w:rPr>
                <w:sz w:val="19"/>
                <w:szCs w:val="19"/>
              </w:rPr>
              <w:t xml:space="preserve">/Observer, bukan pemanggilan langsung antar modul, agar modul Notifikasi dapat dikembangkan, diuji, dan bila perlu diekstraksi menjadi layanan terpisah tanpa mengubah modul Event.</w:t>
            </w:r>
          </w:p>
        </w:tc>
        <w:tc>
          <w:tcPr>
            <w:tcW w:type="dxa" w:w="1686"/>
            <w:tcMar>
              <w:top w:type="dxa" w:w="80"/>
              <w:left w:type="dxa" w:w="100"/>
              <w:bottom w:type="dxa" w:w="80"/>
              <w:right w:type="dxa" w:w="100"/>
            </w:tcMar>
          </w:tcPr>
          <w:p>
            <w:pPr>
              <w:spacing w:line="264"/>
              <w:jc w:val="both"/>
            </w:pPr>
            <w:r>
              <w:rPr>
                <w:sz w:val="19"/>
                <w:szCs w:val="19"/>
              </w:rPr>
              <w:t xml:space="preserve">Tidak ada pemanggilan langsung (</w:t>
            </w:r>
            <w:r>
              <w:rPr>
                <w:i/>
                <w:iCs/>
                <w:sz w:val="19"/>
                <w:szCs w:val="19"/>
              </w:rPr>
              <w:t xml:space="preserve">direct call</w:t>
            </w:r>
            <w:r>
              <w:rPr>
                <w:sz w:val="19"/>
                <w:szCs w:val="19"/>
              </w:rPr>
              <w:t xml:space="preserve">) dari modul Event ke modul Notifikasi dalam kode.</w:t>
            </w:r>
          </w:p>
        </w:tc>
      </w:tr>
    </w:tbl>
    <w:p>
      <w:pPr>
        <w:spacing w:after="200"/>
      </w:pPr>
    </w:p>
    <w:p>
      <w:pPr>
        <w:pStyle w:val="Heading1"/>
        <w:spacing w:after="140" w:before="280"/>
      </w:pPr>
      <w:r>
        <w:rPr>
          <w:b/>
          <w:bCs/>
          <w:color w:val="1F3864"/>
        </w:rPr>
        <w:t xml:space="preserve">4. NFR – Performa API</w:t>
      </w:r>
    </w:p>
    <w:tbl>
      <w:tblPr>
        <w:tblW w:type="dxa" w:w="9073"/>
        <w:tblBorders>
          <w:top w:val="single" w:color="1F3864" w:sz="4"/>
          <w:left w:val="none" w:color="FFFFFF" w:sz="0"/>
          <w:bottom w:val="single" w:color="1F3864" w:sz="4"/>
          <w:right w:val="none" w:color="FFFFFF" w:sz="0"/>
          <w:insideH w:val="single" w:color="AAAAAA" w:sz="2"/>
          <w:insideV w:val="none" w:color="FFFFFF" w:sz="0"/>
        </w:tblBorders>
      </w:tblPr>
      <w:tblGrid>
        <w:gridCol w:w="1296"/>
        <w:gridCol w:w="6091"/>
        <w:gridCol w:w="1686"/>
      </w:tblGrid>
      <w:tr>
        <w:trPr>
          <w:tblHeader/>
        </w:trPr>
        <w:tc>
          <w:tcPr>
            <w:tcW w:type="dxa" w:w="1296"/>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ID</w:t>
            </w:r>
          </w:p>
        </w:tc>
        <w:tc>
          <w:tcPr>
            <w:tcW w:type="dxa" w:w="6091"/>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Kebutuhan</w:t>
            </w:r>
          </w:p>
        </w:tc>
        <w:tc>
          <w:tcPr>
            <w:tcW w:type="dxa" w:w="1686"/>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Target/Ukuran</w:t>
            </w:r>
          </w:p>
        </w:tc>
      </w:tr>
      <w:tr>
        <w:tc>
          <w:tcPr>
            <w:tcW w:type="dxa" w:w="1296"/>
            <w:tcMar>
              <w:top w:type="dxa" w:w="80"/>
              <w:left w:type="dxa" w:w="100"/>
              <w:bottom w:type="dxa" w:w="80"/>
              <w:right w:type="dxa" w:w="100"/>
            </w:tcMar>
          </w:tcPr>
          <w:p>
            <w:pPr>
              <w:spacing w:line="264"/>
              <w:jc w:val="both"/>
            </w:pPr>
            <w:r>
              <w:rPr>
                <w:sz w:val="19"/>
                <w:szCs w:val="19"/>
              </w:rPr>
              <w:t xml:space="preserve">NFR-PERF-01</w:t>
            </w:r>
          </w:p>
        </w:tc>
        <w:tc>
          <w:tcPr>
            <w:tcW w:type="dxa" w:w="6091"/>
            <w:tcMar>
              <w:top w:type="dxa" w:w="80"/>
              <w:left w:type="dxa" w:w="100"/>
              <w:bottom w:type="dxa" w:w="80"/>
              <w:right w:type="dxa" w:w="100"/>
            </w:tcMar>
          </w:tcPr>
          <w:p>
            <w:pPr>
              <w:spacing w:line="264"/>
              <w:jc w:val="both"/>
            </w:pPr>
            <w:r>
              <w:rPr>
                <w:sz w:val="19"/>
                <w:szCs w:val="19"/>
              </w:rPr>
              <w:t xml:space="preserve">Endpoint API inti (login, daftar/pencarian event, pengajuan RSVP) harus memberikan waktu respons yang wajar bagi pengguna pada kondisi beban normal di lingkungan staging.</w:t>
            </w:r>
          </w:p>
        </w:tc>
        <w:tc>
          <w:tcPr>
            <w:tcW w:type="dxa" w:w="1686"/>
            <w:tcMar>
              <w:top w:type="dxa" w:w="80"/>
              <w:left w:type="dxa" w:w="100"/>
              <w:bottom w:type="dxa" w:w="80"/>
              <w:right w:type="dxa" w:w="100"/>
            </w:tcMar>
          </w:tcPr>
          <w:p>
            <w:pPr>
              <w:spacing w:line="264"/>
              <w:jc w:val="both"/>
            </w:pPr>
            <w:r>
              <w:rPr>
                <w:sz w:val="19"/>
                <w:szCs w:val="19"/>
              </w:rPr>
              <w:t xml:space="preserve">Rata-rata waktu respons di bawah 500ms untuk 95% permintaan (diuji dengan Postman/Jest pada tahap QA Minggu 14).</w:t>
            </w:r>
          </w:p>
        </w:tc>
      </w:tr>
      <w:tr>
        <w:tc>
          <w:tcPr>
            <w:tcW w:type="dxa" w:w="1296"/>
            <w:tcMar>
              <w:top w:type="dxa" w:w="80"/>
              <w:left w:type="dxa" w:w="100"/>
              <w:bottom w:type="dxa" w:w="80"/>
              <w:right w:type="dxa" w:w="100"/>
            </w:tcMar>
          </w:tcPr>
          <w:p>
            <w:pPr>
              <w:spacing w:line="264"/>
              <w:jc w:val="both"/>
            </w:pPr>
            <w:r>
              <w:rPr>
                <w:sz w:val="19"/>
                <w:szCs w:val="19"/>
              </w:rPr>
              <w:t xml:space="preserve">NFR-PERF-02</w:t>
            </w:r>
          </w:p>
        </w:tc>
        <w:tc>
          <w:tcPr>
            <w:tcW w:type="dxa" w:w="6091"/>
            <w:tcMar>
              <w:top w:type="dxa" w:w="80"/>
              <w:left w:type="dxa" w:w="100"/>
              <w:bottom w:type="dxa" w:w="80"/>
              <w:right w:type="dxa" w:w="100"/>
            </w:tcMar>
          </w:tcPr>
          <w:p>
            <w:pPr>
              <w:spacing w:line="264"/>
              <w:jc w:val="both"/>
            </w:pPr>
            <w:r>
              <w:rPr>
                <w:sz w:val="19"/>
                <w:szCs w:val="19"/>
              </w:rPr>
              <w:t xml:space="preserve">Endpoint pencarian/filter event harus menerapkan mekanisme </w:t>
            </w:r>
            <w:r>
              <w:rPr>
                <w:i/>
                <w:iCs/>
                <w:sz w:val="19"/>
                <w:szCs w:val="19"/>
              </w:rPr>
              <w:t xml:space="preserve">pagination</w:t>
            </w:r>
            <w:r>
              <w:rPr>
                <w:sz w:val="19"/>
                <w:szCs w:val="19"/>
              </w:rPr>
              <w:t xml:space="preserve"> agar tidak mengembalikan seluruh dataset event sekaligus dalam satu permintaan.</w:t>
            </w:r>
          </w:p>
        </w:tc>
        <w:tc>
          <w:tcPr>
            <w:tcW w:type="dxa" w:w="1686"/>
            <w:tcMar>
              <w:top w:type="dxa" w:w="80"/>
              <w:left w:type="dxa" w:w="100"/>
              <w:bottom w:type="dxa" w:w="80"/>
              <w:right w:type="dxa" w:w="100"/>
            </w:tcMar>
          </w:tcPr>
          <w:p>
            <w:pPr>
              <w:spacing w:line="264"/>
              <w:jc w:val="both"/>
            </w:pPr>
            <w:r>
              <w:rPr>
                <w:sz w:val="19"/>
                <w:szCs w:val="19"/>
              </w:rPr>
              <w:t xml:space="preserve">Ukuran halaman default maksimum 20 data per permintaan.</w:t>
            </w:r>
          </w:p>
        </w:tc>
      </w:tr>
      <w:tr>
        <w:tc>
          <w:tcPr>
            <w:tcW w:type="dxa" w:w="1296"/>
            <w:tcMar>
              <w:top w:type="dxa" w:w="80"/>
              <w:left w:type="dxa" w:w="100"/>
              <w:bottom w:type="dxa" w:w="80"/>
              <w:right w:type="dxa" w:w="100"/>
            </w:tcMar>
          </w:tcPr>
          <w:p>
            <w:pPr>
              <w:spacing w:line="264"/>
              <w:jc w:val="both"/>
            </w:pPr>
            <w:r>
              <w:rPr>
                <w:sz w:val="19"/>
                <w:szCs w:val="19"/>
              </w:rPr>
              <w:t xml:space="preserve">NFR-PERF-03</w:t>
            </w:r>
          </w:p>
        </w:tc>
        <w:tc>
          <w:tcPr>
            <w:tcW w:type="dxa" w:w="6091"/>
            <w:tcMar>
              <w:top w:type="dxa" w:w="80"/>
              <w:left w:type="dxa" w:w="100"/>
              <w:bottom w:type="dxa" w:w="80"/>
              <w:right w:type="dxa" w:w="100"/>
            </w:tcMar>
          </w:tcPr>
          <w:p>
            <w:pPr>
              <w:spacing w:line="264"/>
              <w:jc w:val="both"/>
            </w:pPr>
            <w:r>
              <w:rPr>
                <w:sz w:val="19"/>
                <w:szCs w:val="19"/>
              </w:rPr>
              <w:t xml:space="preserve">Proses build &amp; </w:t>
            </w:r>
            <w:r>
              <w:rPr>
                <w:i/>
                <w:iCs/>
                <w:sz w:val="19"/>
                <w:szCs w:val="19"/>
              </w:rPr>
              <w:t xml:space="preserve">static asset</w:t>
            </w:r>
            <w:r>
              <w:rPr>
                <w:sz w:val="19"/>
                <w:szCs w:val="19"/>
              </w:rPr>
              <w:t xml:space="preserve"> frontend (React) untuk production harus dioptimasi (</w:t>
            </w:r>
            <w:r>
              <w:rPr>
                <w:i/>
                <w:iCs/>
                <w:sz w:val="19"/>
                <w:szCs w:val="19"/>
              </w:rPr>
              <w:t xml:space="preserve">minify</w:t>
            </w:r>
            <w:r>
              <w:rPr>
                <w:sz w:val="19"/>
                <w:szCs w:val="19"/>
              </w:rPr>
              <w:t xml:space="preserve">, </w:t>
            </w:r>
            <w:r>
              <w:rPr>
                <w:i/>
                <w:iCs/>
                <w:sz w:val="19"/>
                <w:szCs w:val="19"/>
              </w:rPr>
              <w:t xml:space="preserve">code splitting</w:t>
            </w:r>
            <w:r>
              <w:rPr>
                <w:sz w:val="19"/>
                <w:szCs w:val="19"/>
              </w:rPr>
              <w:t xml:space="preserve"> dasar) agar waktu muat halaman awal tetap wajar pada koneksi kampus standar.</w:t>
            </w:r>
          </w:p>
        </w:tc>
        <w:tc>
          <w:tcPr>
            <w:tcW w:type="dxa" w:w="1686"/>
            <w:tcMar>
              <w:top w:type="dxa" w:w="80"/>
              <w:left w:type="dxa" w:w="100"/>
              <w:bottom w:type="dxa" w:w="80"/>
              <w:right w:type="dxa" w:w="100"/>
            </w:tcMar>
          </w:tcPr>
          <w:p>
            <w:pPr>
              <w:spacing w:line="264"/>
              <w:jc w:val="both"/>
            </w:pPr>
            <w:r>
              <w:rPr>
                <w:sz w:val="19"/>
                <w:szCs w:val="19"/>
              </w:rPr>
              <w:t xml:space="preserve">Ukuran bundel awal (</w:t>
            </w:r>
            <w:r>
              <w:rPr>
                <w:i/>
                <w:iCs/>
                <w:sz w:val="19"/>
                <w:szCs w:val="19"/>
              </w:rPr>
              <w:t xml:space="preserve">initial JS bundle</w:t>
            </w:r>
            <w:r>
              <w:rPr>
                <w:sz w:val="19"/>
                <w:szCs w:val="19"/>
              </w:rPr>
              <w:t xml:space="preserve">) tidak melebihi ±500KB terkompresi.</w:t>
            </w:r>
          </w:p>
        </w:tc>
      </w:tr>
      <w:tr>
        <w:tc>
          <w:tcPr>
            <w:tcW w:type="dxa" w:w="1296"/>
            <w:tcMar>
              <w:top w:type="dxa" w:w="80"/>
              <w:left w:type="dxa" w:w="100"/>
              <w:bottom w:type="dxa" w:w="80"/>
              <w:right w:type="dxa" w:w="100"/>
            </w:tcMar>
          </w:tcPr>
          <w:p>
            <w:pPr>
              <w:spacing w:line="264"/>
              <w:jc w:val="both"/>
            </w:pPr>
            <w:r>
              <w:rPr>
                <w:sz w:val="19"/>
                <w:szCs w:val="19"/>
              </w:rPr>
              <w:t xml:space="preserve">NFR-PERF-04</w:t>
            </w:r>
          </w:p>
        </w:tc>
        <w:tc>
          <w:tcPr>
            <w:tcW w:type="dxa" w:w="6091"/>
            <w:tcMar>
              <w:top w:type="dxa" w:w="80"/>
              <w:left w:type="dxa" w:w="100"/>
              <w:bottom w:type="dxa" w:w="80"/>
              <w:right w:type="dxa" w:w="100"/>
            </w:tcMar>
          </w:tcPr>
          <w:p>
            <w:pPr>
              <w:spacing w:line="264"/>
              <w:jc w:val="both"/>
            </w:pPr>
            <w:r>
              <w:rPr>
                <w:sz w:val="19"/>
                <w:szCs w:val="19"/>
              </w:rPr>
              <w:t xml:space="preserve">Sistem harus melalui pengujian performa dasar (uji beban sederhana pada endpoint inti) sebelum tahap UAT, sebagai bagian dari QA menyeluruh pada Minggu 14.</w:t>
            </w:r>
          </w:p>
        </w:tc>
        <w:tc>
          <w:tcPr>
            <w:tcW w:type="dxa" w:w="1686"/>
            <w:tcMar>
              <w:top w:type="dxa" w:w="80"/>
              <w:left w:type="dxa" w:w="100"/>
              <w:bottom w:type="dxa" w:w="80"/>
              <w:right w:type="dxa" w:w="100"/>
            </w:tcMar>
          </w:tcPr>
          <w:p>
            <w:pPr>
              <w:spacing w:line="264"/>
              <w:jc w:val="both"/>
            </w:pPr>
            <w:r>
              <w:rPr>
                <w:sz w:val="19"/>
                <w:szCs w:val="19"/>
              </w:rPr>
              <w:t xml:space="preserve">Minimal satu skenario uji beban per endpoint inti terdokumentasi sebelum Minggu 14.</w:t>
            </w:r>
          </w:p>
        </w:tc>
      </w:tr>
    </w:tbl>
    <w:p>
      <w:pPr>
        <w:spacing w:after="200"/>
      </w:pPr>
    </w:p>
    <w:p>
      <w:pPr>
        <w:pStyle w:val="Heading1"/>
        <w:spacing w:after="140" w:before="280"/>
      </w:pPr>
      <w:r>
        <w:rPr>
          <w:b/>
          <w:bCs/>
          <w:color w:val="1F3864"/>
        </w:rPr>
        <w:t xml:space="preserve">5. Keterkaitan dengan Keputusan Arsitektur</w:t>
      </w:r>
    </w:p>
    <w:p>
      <w:pPr>
        <w:spacing w:after="160" w:line="276"/>
        <w:jc w:val="both"/>
      </w:pPr>
      <w:r>
        <w:t xml:space="preserve">Ketiga kelompok NFR di atas secara langsung menopang kelayakan keputusan arsitektur </w:t>
      </w:r>
      <w:r>
        <w:rPr>
          <w:i/>
          <w:iCs/>
        </w:rPr>
        <w:t xml:space="preserve">Modular API (Modular Monolith)</w:t>
      </w:r>
      <w:r>
        <w:t xml:space="preserve"> yang direkomendasikan pada Minggu 2: modularitas menjaga agar sistem tetap mudah dikembangkan oleh tim kecil dalam waktu terbatas, sementara kebutuhan skalabilitas dan performa memastikan bahwa struktur modular tersebut tidak sekadar rapi secara kode, tetapi juga benar-benar mendukung pertumbuhan data dan pengguna tanpa memerlukan perombakan arsitektur di tengah semester.</w:t>
      </w:r>
    </w:p>
    <w:p>
      <w:pPr>
        <w:pStyle w:val="Heading1"/>
        <w:spacing w:after="140" w:before="280"/>
      </w:pPr>
      <w:r>
        <w:rPr>
          <w:b/>
          <w:bCs/>
          <w:color w:val="1F3864"/>
        </w:rPr>
        <w:t xml:space="preserve">6. Metode Verifikasi</w:t>
      </w:r>
    </w:p>
    <w:p>
      <w:pPr>
        <w:pStyle w:val="ListParagraph"/>
        <w:numPr>
          <w:ilvl w:val="0"/>
          <w:numId w:val="1"/>
        </w:numPr>
        <w:spacing w:after="80"/>
        <w:jc w:val="both"/>
      </w:pPr>
      <w:r>
        <w:rPr>
          <w:b/>
          <w:bCs/>
        </w:rPr>
        <w:t xml:space="preserve">Unit test (Jest)</w:t>
      </w:r>
      <w:r>
        <w:t xml:space="preserve"> pada tiap modul untuk memastikan batas modul (NFR-MOD-01) dan penggunaan Repository Pattern (NFR-MOD-02) konsisten.</w:t>
      </w:r>
    </w:p>
    <w:p>
      <w:pPr>
        <w:pStyle w:val="ListParagraph"/>
        <w:numPr>
          <w:ilvl w:val="0"/>
          <w:numId w:val="1"/>
        </w:numPr>
        <w:spacing w:after="80"/>
        <w:jc w:val="both"/>
      </w:pPr>
      <w:r>
        <w:rPr>
          <w:b/>
          <w:bCs/>
        </w:rPr>
        <w:t xml:space="preserve">Code review</w:t>
      </w:r>
      <w:r>
        <w:t xml:space="preserve"> sebelum merge ke branch </w:t>
      </w:r>
      <w:r>
        <w:rPr>
          <w:rFonts w:ascii="Consolas" w:cs="Consolas" w:eastAsia="Consolas" w:hAnsi="Consolas"/>
        </w:rPr>
        <w:t xml:space="preserve">develop</w:t>
      </w:r>
      <w:r>
        <w:t xml:space="preserve"> sebagai kontrol kualitas modularitas dan kepatuhan kontrak API (NFR-MOD-03).</w:t>
      </w:r>
    </w:p>
    <w:p>
      <w:pPr>
        <w:pStyle w:val="ListParagraph"/>
        <w:numPr>
          <w:ilvl w:val="0"/>
          <w:numId w:val="1"/>
        </w:numPr>
        <w:spacing w:after="80"/>
        <w:jc w:val="both"/>
      </w:pPr>
      <w:r>
        <w:rPr>
          <w:b/>
          <w:bCs/>
        </w:rPr>
        <w:t xml:space="preserve">Pengujian performa dasar dengan Postman</w:t>
      </w:r>
      <w:r>
        <w:t xml:space="preserve"> pada endpoint inti selama tahap QA Minggu 14, untuk memverifikasi target waktu respons (NFR-PERF-01, NFR-PERF-04).</w:t>
      </w:r>
    </w:p>
    <w:p>
      <w:pPr>
        <w:pStyle w:val="ListParagraph"/>
        <w:numPr>
          <w:ilvl w:val="0"/>
          <w:numId w:val="1"/>
        </w:numPr>
        <w:spacing w:after="80"/>
        <w:jc w:val="both"/>
      </w:pPr>
      <w:r>
        <w:rPr>
          <w:b/>
          <w:bCs/>
        </w:rPr>
        <w:t xml:space="preserve">Uji data skala menengah</w:t>
      </w:r>
      <w:r>
        <w:t xml:space="preserve"> (±5.000 baris event) pada lingkungan staging untuk memverifikasi kebutuhan indeks basis data (NFR-SCAL-02).</w:t>
      </w:r>
    </w:p>
    <w:sectPr>
      <w:footerReference w:type="default" r:id="rId7"/>
      <w:pgSz w:w="11907" w:h="16840"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2026-09-07T08:37:01.153Z</dcterms:created>
  <dcterms:modified xsi:type="dcterms:W3CDTF">2026-09-07T08:37:01.153Z</dcterms:modified>
</cp:coreProperties>
</file>

<file path=docProps/custom.xml><?xml version="1.0" encoding="utf-8"?>
<Properties xmlns="http://schemas.openxmlformats.org/officeDocument/2006/custom-properties" xmlns:vt="http://schemas.openxmlformats.org/officeDocument/2006/docPropsVTypes"/>
</file>