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C0BD" w14:textId="77777777" w:rsidR="008D61C4" w:rsidRDefault="00000000">
      <w:pPr>
        <w:spacing w:after="160"/>
        <w:jc w:val="center"/>
      </w:pPr>
      <w:r>
        <w:rPr>
          <w:b/>
          <w:bCs/>
          <w:color w:val="1F4E79"/>
          <w:sz w:val="52"/>
          <w:szCs w:val="52"/>
        </w:rPr>
        <w:t>StreamSphere: The Engagement Mystery</w:t>
      </w:r>
    </w:p>
    <w:p w14:paraId="0420DA1F" w14:textId="77777777" w:rsidR="008D61C4" w:rsidRDefault="00000000">
      <w:pPr>
        <w:pBdr>
          <w:bottom w:val="single" w:sz="6" w:space="1" w:color="2E75B6"/>
        </w:pBdr>
        <w:spacing w:after="600"/>
        <w:jc w:val="center"/>
      </w:pPr>
      <w:r>
        <w:rPr>
          <w:color w:val="595959"/>
          <w:sz w:val="26"/>
          <w:szCs w:val="26"/>
        </w:rPr>
        <w:t>Stage 1: Business Understanding</w:t>
      </w:r>
    </w:p>
    <w:p w14:paraId="7B5C9BBE" w14:textId="77777777" w:rsidR="008D61C4" w:rsidRDefault="00000000">
      <w:pPr>
        <w:pStyle w:val="Heading1"/>
      </w:pPr>
      <w:r>
        <w:t>1. Problem Statement</w:t>
      </w:r>
    </w:p>
    <w:p w14:paraId="2ACFC8FA" w14:textId="77777777" w:rsidR="008D61C4" w:rsidRDefault="00000000">
      <w:pPr>
        <w:spacing w:after="200"/>
      </w:pPr>
      <w:r>
        <w:t>StreamSphere has successfully scaled its user base and expanded its content library, generating a massive volume of user interaction data. However, the platform is experiencing a critical gap between activity and understanding.</w:t>
      </w:r>
    </w:p>
    <w:p w14:paraId="005DE987" w14:textId="06E3A51F" w:rsidR="008D61C4" w:rsidRDefault="00000000">
      <w:pPr>
        <w:spacing w:after="200"/>
      </w:pPr>
      <w:r>
        <w:t xml:space="preserve">While the company can track basic metrics like logins and clicks, it fails to understand the underlying drivers of user engagement, content success, and subscription renewals. The core business problem is to </w:t>
      </w:r>
      <w:r w:rsidRPr="00967B77">
        <w:t xml:space="preserve">transition from merely observing fragmented user </w:t>
      </w:r>
      <w:r w:rsidR="0062142D">
        <w:t>behaviours</w:t>
      </w:r>
      <w:r w:rsidRPr="00967B77">
        <w:t xml:space="preserve"> to interpreting these patterns</w:t>
      </w:r>
      <w:r>
        <w:t>, ultimately uncovering what truly drives user retention, content consumption, and platform loyalty.</w:t>
      </w:r>
    </w:p>
    <w:p w14:paraId="2DD49731" w14:textId="77777777" w:rsidR="008D61C4" w:rsidRDefault="00000000">
      <w:pPr>
        <w:pStyle w:val="Heading1"/>
      </w:pPr>
      <w:r>
        <w:t>2. Business Questions (The Core 5)</w:t>
      </w:r>
    </w:p>
    <w:p w14:paraId="075AE455" w14:textId="77777777" w:rsidR="008D61C4" w:rsidRDefault="00000000">
      <w:pPr>
        <w:pStyle w:val="Heading2"/>
      </w:pPr>
      <w:r>
        <w:t>Q1: Completion vs. Drop-off</w:t>
      </w:r>
    </w:p>
    <w:p w14:paraId="44F6464E" w14:textId="77777777" w:rsidR="008D61C4" w:rsidRDefault="00000000">
      <w:pPr>
        <w:spacing w:after="240"/>
      </w:pPr>
      <w:r>
        <w:t>What factors (genre, time of day, format) most strongly influence whether a user finishes a title or abandons it shortly after starting?</w:t>
      </w:r>
    </w:p>
    <w:p w14:paraId="36F3E55E" w14:textId="77777777" w:rsidR="008D61C4" w:rsidRDefault="00000000">
      <w:pPr>
        <w:pStyle w:val="Heading2"/>
      </w:pPr>
      <w:r>
        <w:t>Q2: The Browsing Paradox</w:t>
      </w:r>
    </w:p>
    <w:p w14:paraId="45B3287B" w14:textId="77777777" w:rsidR="008D61C4" w:rsidRDefault="00000000">
      <w:pPr>
        <w:spacing w:after="240"/>
      </w:pPr>
      <w:r>
        <w:t>How does extensive platform browsing without immediate selection correlate with long-term user retention and subscription churn?</w:t>
      </w:r>
    </w:p>
    <w:p w14:paraId="0524CEA7" w14:textId="77777777" w:rsidR="008D61C4" w:rsidRDefault="00000000">
      <w:pPr>
        <w:pStyle w:val="Heading2"/>
      </w:pPr>
      <w:r>
        <w:t>Q3: Content Visibility vs. Value</w:t>
      </w:r>
    </w:p>
    <w:p w14:paraId="70189995" w14:textId="77777777" w:rsidR="008D61C4" w:rsidRDefault="00000000">
      <w:pPr>
        <w:spacing w:after="240"/>
      </w:pPr>
      <w:r>
        <w:t>Why do certain highly-promoted titles underperform while specific niche content organically gains traction, and how does regionality affect this?</w:t>
      </w:r>
    </w:p>
    <w:p w14:paraId="7AC8DCD1" w14:textId="77777777" w:rsidR="008D61C4" w:rsidRDefault="00000000">
      <w:pPr>
        <w:pStyle w:val="Heading2"/>
      </w:pPr>
      <w:r>
        <w:t>Q4: Subscription Loyalty</w:t>
      </w:r>
    </w:p>
    <w:p w14:paraId="06CC2927" w14:textId="77777777" w:rsidR="008D61C4" w:rsidRDefault="00000000">
      <w:pPr>
        <w:spacing w:after="240"/>
      </w:pPr>
      <w:r>
        <w:t>What are the key viewing patterns (e.g., binge-watching vs. consistent daily viewing) that separate users who renew their subscriptions from those who cancel?</w:t>
      </w:r>
    </w:p>
    <w:p w14:paraId="61536DF2" w14:textId="77777777" w:rsidR="008D61C4" w:rsidRDefault="00000000">
      <w:pPr>
        <w:pStyle w:val="Heading2"/>
      </w:pPr>
      <w:r>
        <w:t>Q5: The Recommendation Loop</w:t>
      </w:r>
    </w:p>
    <w:p w14:paraId="58ADC045" w14:textId="77777777" w:rsidR="008D61C4" w:rsidRDefault="00000000">
      <w:pPr>
        <w:spacing w:after="240"/>
      </w:pPr>
      <w:r>
        <w:t>Do users actively engage with recommended content based on their prior viewing history, or are their choices primarily driven by homepage placement?</w:t>
      </w:r>
    </w:p>
    <w:p w14:paraId="1CB5EB5D" w14:textId="77777777" w:rsidR="008D61C4" w:rsidRDefault="00000000">
      <w:pPr>
        <w:pStyle w:val="Heading1"/>
      </w:pPr>
      <w:r>
        <w:lastRenderedPageBreak/>
        <w:t>3. Assumptions Made</w:t>
      </w:r>
    </w:p>
    <w:p w14:paraId="0A130F87" w14:textId="77777777" w:rsidR="008D61C4" w:rsidRDefault="00000000">
      <w:pPr>
        <w:pStyle w:val="ListParagraph"/>
        <w:numPr>
          <w:ilvl w:val="0"/>
          <w:numId w:val="2"/>
        </w:numPr>
        <w:spacing w:before="80" w:after="120"/>
      </w:pPr>
      <w:r>
        <w:rPr>
          <w:b/>
          <w:bCs/>
        </w:rPr>
        <w:t xml:space="preserve">Data Accuracy: </w:t>
      </w:r>
      <w:r>
        <w:t>We assume the captured platform data (timestamps, click events, watch durations) is accurate and completely recorded without technical glitches.</w:t>
      </w:r>
    </w:p>
    <w:p w14:paraId="18475F20" w14:textId="77777777" w:rsidR="008D61C4" w:rsidRDefault="00000000">
      <w:pPr>
        <w:pStyle w:val="ListParagraph"/>
        <w:numPr>
          <w:ilvl w:val="0"/>
          <w:numId w:val="2"/>
        </w:numPr>
        <w:spacing w:before="80" w:after="120"/>
      </w:pPr>
      <w:r>
        <w:rPr>
          <w:b/>
          <w:bCs/>
        </w:rPr>
        <w:t xml:space="preserve">Intent Translation: </w:t>
      </w:r>
      <w:r>
        <w:t>We assume that prolonged browsing without watching indicates indecision or a poor recommendation algorithm, rather than user satisfaction.</w:t>
      </w:r>
    </w:p>
    <w:p w14:paraId="05190121" w14:textId="77777777" w:rsidR="008D61C4" w:rsidRDefault="00000000">
      <w:pPr>
        <w:pStyle w:val="ListParagraph"/>
        <w:numPr>
          <w:ilvl w:val="0"/>
          <w:numId w:val="2"/>
        </w:numPr>
        <w:spacing w:before="80" w:after="240"/>
      </w:pPr>
      <w:r>
        <w:rPr>
          <w:b/>
          <w:bCs/>
        </w:rPr>
        <w:t xml:space="preserve">Static Geography: </w:t>
      </w:r>
      <w:r>
        <w:t>We assume the user's primary region remains constant during the dataset's timeframe, allowing for accurate geographical segmentation.</w:t>
      </w:r>
    </w:p>
    <w:p w14:paraId="2B4D12CD" w14:textId="77777777" w:rsidR="008D61C4" w:rsidRDefault="00000000">
      <w:pPr>
        <w:pStyle w:val="Heading1"/>
      </w:pPr>
      <w:r>
        <w:t>4. Expected Outcomes</w:t>
      </w:r>
    </w:p>
    <w:p w14:paraId="46D704B6" w14:textId="77777777" w:rsidR="008D61C4" w:rsidRDefault="00000000">
      <w:pPr>
        <w:pStyle w:val="ListParagraph"/>
        <w:numPr>
          <w:ilvl w:val="0"/>
          <w:numId w:val="2"/>
        </w:numPr>
        <w:spacing w:before="80" w:after="120"/>
      </w:pPr>
      <w:r>
        <w:rPr>
          <w:b/>
          <w:bCs/>
        </w:rPr>
        <w:t xml:space="preserve">Actionable User Personas: </w:t>
      </w:r>
      <w:r>
        <w:t>Identification of distinct user segments (e.g., "The Binge Watcher," "The Indecisive Browser") to allow for targeted marketing and UI adjustments.</w:t>
      </w:r>
    </w:p>
    <w:p w14:paraId="41DC8379" w14:textId="7650D9BB" w:rsidR="008D61C4" w:rsidRDefault="00000000">
      <w:pPr>
        <w:pStyle w:val="ListParagraph"/>
        <w:numPr>
          <w:ilvl w:val="0"/>
          <w:numId w:val="2"/>
        </w:numPr>
        <w:spacing w:before="80" w:after="120"/>
      </w:pPr>
      <w:r>
        <w:rPr>
          <w:b/>
          <w:bCs/>
        </w:rPr>
        <w:t xml:space="preserve">Content Strategy </w:t>
      </w:r>
      <w:r w:rsidR="007E7C90">
        <w:rPr>
          <w:b/>
          <w:bCs/>
        </w:rPr>
        <w:t>Optimisation</w:t>
      </w:r>
      <w:r>
        <w:rPr>
          <w:b/>
          <w:bCs/>
        </w:rPr>
        <w:t xml:space="preserve">: </w:t>
      </w:r>
      <w:r>
        <w:t>Data-backed recommendations on what types of content to acquire or promote based on actual engagement rather than industry hype.</w:t>
      </w:r>
    </w:p>
    <w:p w14:paraId="43AC8C21" w14:textId="40BECC70" w:rsidR="008D61C4" w:rsidRDefault="00000000">
      <w:pPr>
        <w:pStyle w:val="ListParagraph"/>
        <w:numPr>
          <w:ilvl w:val="0"/>
          <w:numId w:val="2"/>
        </w:numPr>
        <w:spacing w:before="80" w:after="400"/>
      </w:pPr>
      <w:r>
        <w:rPr>
          <w:b/>
          <w:bCs/>
        </w:rPr>
        <w:t xml:space="preserve">Retention Triggers: </w:t>
      </w:r>
      <w:r>
        <w:t xml:space="preserve">Identification of specific </w:t>
      </w:r>
      <w:r w:rsidR="0062142D">
        <w:t>behaviour</w:t>
      </w:r>
      <w:r>
        <w:t xml:space="preserve"> drops (e.g., a sudden decrease in weekend viewing) that can act as early warning signals for subscription churn, allowing for proactive retention campaigns.</w:t>
      </w:r>
    </w:p>
    <w:p w14:paraId="4D88994A" w14:textId="561D86D6" w:rsidR="008D61C4" w:rsidRDefault="008D61C4">
      <w:pPr>
        <w:pBdr>
          <w:top w:val="single" w:sz="4" w:space="1" w:color="CCCCCC"/>
        </w:pBdr>
        <w:spacing w:before="200"/>
        <w:jc w:val="center"/>
      </w:pPr>
    </w:p>
    <w:sectPr w:rsidR="008D61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D74DF"/>
    <w:multiLevelType w:val="hybridMultilevel"/>
    <w:tmpl w:val="CB5CFC56"/>
    <w:lvl w:ilvl="0" w:tplc="3B746050">
      <w:start w:val="1"/>
      <w:numFmt w:val="decimal"/>
      <w:lvlText w:val="%1."/>
      <w:lvlJc w:val="left"/>
      <w:pPr>
        <w:ind w:left="720" w:hanging="360"/>
      </w:pPr>
    </w:lvl>
    <w:lvl w:ilvl="1" w:tplc="5CD24AF8">
      <w:numFmt w:val="decimal"/>
      <w:lvlText w:val=""/>
      <w:lvlJc w:val="left"/>
    </w:lvl>
    <w:lvl w:ilvl="2" w:tplc="9F1C6766">
      <w:numFmt w:val="decimal"/>
      <w:lvlText w:val=""/>
      <w:lvlJc w:val="left"/>
    </w:lvl>
    <w:lvl w:ilvl="3" w:tplc="404E5972">
      <w:numFmt w:val="decimal"/>
      <w:lvlText w:val=""/>
      <w:lvlJc w:val="left"/>
    </w:lvl>
    <w:lvl w:ilvl="4" w:tplc="DD1E5C10">
      <w:numFmt w:val="decimal"/>
      <w:lvlText w:val=""/>
      <w:lvlJc w:val="left"/>
    </w:lvl>
    <w:lvl w:ilvl="5" w:tplc="341EB68A">
      <w:numFmt w:val="decimal"/>
      <w:lvlText w:val=""/>
      <w:lvlJc w:val="left"/>
    </w:lvl>
    <w:lvl w:ilvl="6" w:tplc="76981EFA">
      <w:numFmt w:val="decimal"/>
      <w:lvlText w:val=""/>
      <w:lvlJc w:val="left"/>
    </w:lvl>
    <w:lvl w:ilvl="7" w:tplc="E8940746">
      <w:numFmt w:val="decimal"/>
      <w:lvlText w:val=""/>
      <w:lvlJc w:val="left"/>
    </w:lvl>
    <w:lvl w:ilvl="8" w:tplc="646C054E">
      <w:numFmt w:val="decimal"/>
      <w:lvlText w:val=""/>
      <w:lvlJc w:val="left"/>
    </w:lvl>
  </w:abstractNum>
  <w:abstractNum w:abstractNumId="1" w15:restartNumberingAfterBreak="0">
    <w:nsid w:val="437103D3"/>
    <w:multiLevelType w:val="hybridMultilevel"/>
    <w:tmpl w:val="EFEE2E3A"/>
    <w:lvl w:ilvl="0" w:tplc="F36E7B16">
      <w:start w:val="1"/>
      <w:numFmt w:val="bullet"/>
      <w:lvlText w:val="•"/>
      <w:lvlJc w:val="left"/>
      <w:pPr>
        <w:ind w:left="720" w:hanging="360"/>
      </w:pPr>
    </w:lvl>
    <w:lvl w:ilvl="1" w:tplc="7BC81C7C">
      <w:numFmt w:val="decimal"/>
      <w:lvlText w:val=""/>
      <w:lvlJc w:val="left"/>
    </w:lvl>
    <w:lvl w:ilvl="2" w:tplc="18A49266">
      <w:numFmt w:val="decimal"/>
      <w:lvlText w:val=""/>
      <w:lvlJc w:val="left"/>
    </w:lvl>
    <w:lvl w:ilvl="3" w:tplc="F4260E66">
      <w:numFmt w:val="decimal"/>
      <w:lvlText w:val=""/>
      <w:lvlJc w:val="left"/>
    </w:lvl>
    <w:lvl w:ilvl="4" w:tplc="B57CFC34">
      <w:numFmt w:val="decimal"/>
      <w:lvlText w:val=""/>
      <w:lvlJc w:val="left"/>
    </w:lvl>
    <w:lvl w:ilvl="5" w:tplc="208C1B32">
      <w:numFmt w:val="decimal"/>
      <w:lvlText w:val=""/>
      <w:lvlJc w:val="left"/>
    </w:lvl>
    <w:lvl w:ilvl="6" w:tplc="C2246508">
      <w:numFmt w:val="decimal"/>
      <w:lvlText w:val=""/>
      <w:lvlJc w:val="left"/>
    </w:lvl>
    <w:lvl w:ilvl="7" w:tplc="5D9C9502">
      <w:numFmt w:val="decimal"/>
      <w:lvlText w:val=""/>
      <w:lvlJc w:val="left"/>
    </w:lvl>
    <w:lvl w:ilvl="8" w:tplc="F0C0AE4A">
      <w:numFmt w:val="decimal"/>
      <w:lvlText w:val=""/>
      <w:lvlJc w:val="left"/>
    </w:lvl>
  </w:abstractNum>
  <w:abstractNum w:abstractNumId="2" w15:restartNumberingAfterBreak="0">
    <w:nsid w:val="5781311F"/>
    <w:multiLevelType w:val="hybridMultilevel"/>
    <w:tmpl w:val="6E94947A"/>
    <w:lvl w:ilvl="0" w:tplc="ABCC6012">
      <w:start w:val="1"/>
      <w:numFmt w:val="bullet"/>
      <w:lvlText w:val="●"/>
      <w:lvlJc w:val="left"/>
      <w:pPr>
        <w:ind w:left="720" w:hanging="360"/>
      </w:pPr>
    </w:lvl>
    <w:lvl w:ilvl="1" w:tplc="18C0C05E">
      <w:start w:val="1"/>
      <w:numFmt w:val="bullet"/>
      <w:lvlText w:val="○"/>
      <w:lvlJc w:val="left"/>
      <w:pPr>
        <w:ind w:left="1440" w:hanging="360"/>
      </w:pPr>
    </w:lvl>
    <w:lvl w:ilvl="2" w:tplc="60A889AC">
      <w:start w:val="1"/>
      <w:numFmt w:val="bullet"/>
      <w:lvlText w:val="■"/>
      <w:lvlJc w:val="left"/>
      <w:pPr>
        <w:ind w:left="2160" w:hanging="360"/>
      </w:pPr>
    </w:lvl>
    <w:lvl w:ilvl="3" w:tplc="214CB914">
      <w:start w:val="1"/>
      <w:numFmt w:val="bullet"/>
      <w:lvlText w:val="●"/>
      <w:lvlJc w:val="left"/>
      <w:pPr>
        <w:ind w:left="2880" w:hanging="360"/>
      </w:pPr>
    </w:lvl>
    <w:lvl w:ilvl="4" w:tplc="CDCA657A">
      <w:start w:val="1"/>
      <w:numFmt w:val="bullet"/>
      <w:lvlText w:val="○"/>
      <w:lvlJc w:val="left"/>
      <w:pPr>
        <w:ind w:left="3600" w:hanging="360"/>
      </w:pPr>
    </w:lvl>
    <w:lvl w:ilvl="5" w:tplc="50600CCE">
      <w:start w:val="1"/>
      <w:numFmt w:val="bullet"/>
      <w:lvlText w:val="■"/>
      <w:lvlJc w:val="left"/>
      <w:pPr>
        <w:ind w:left="4320" w:hanging="360"/>
      </w:pPr>
    </w:lvl>
    <w:lvl w:ilvl="6" w:tplc="83A6E116">
      <w:start w:val="1"/>
      <w:numFmt w:val="bullet"/>
      <w:lvlText w:val="●"/>
      <w:lvlJc w:val="left"/>
      <w:pPr>
        <w:ind w:left="5040" w:hanging="360"/>
      </w:pPr>
    </w:lvl>
    <w:lvl w:ilvl="7" w:tplc="B742045E">
      <w:start w:val="1"/>
      <w:numFmt w:val="bullet"/>
      <w:lvlText w:val="●"/>
      <w:lvlJc w:val="left"/>
      <w:pPr>
        <w:ind w:left="5760" w:hanging="360"/>
      </w:pPr>
    </w:lvl>
    <w:lvl w:ilvl="8" w:tplc="CF9E739E">
      <w:start w:val="1"/>
      <w:numFmt w:val="bullet"/>
      <w:lvlText w:val="●"/>
      <w:lvlJc w:val="left"/>
      <w:pPr>
        <w:ind w:left="6480" w:hanging="360"/>
      </w:pPr>
    </w:lvl>
  </w:abstractNum>
  <w:num w:numId="1" w16cid:durableId="2016763601">
    <w:abstractNumId w:val="2"/>
    <w:lvlOverride w:ilvl="0">
      <w:startOverride w:val="1"/>
    </w:lvlOverride>
  </w:num>
  <w:num w:numId="2" w16cid:durableId="754204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C4"/>
    <w:rsid w:val="00027CC4"/>
    <w:rsid w:val="0062142D"/>
    <w:rsid w:val="007E7C90"/>
    <w:rsid w:val="008D61C4"/>
    <w:rsid w:val="008F5317"/>
    <w:rsid w:val="00967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6931"/>
  <w15:docId w15:val="{E846917B-2232-294D-9E5E-F6853CDB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ABRAHAM</cp:lastModifiedBy>
  <cp:revision>4</cp:revision>
  <dcterms:created xsi:type="dcterms:W3CDTF">2026-04-06T13:19:00Z</dcterms:created>
  <dcterms:modified xsi:type="dcterms:W3CDTF">2026-04-07T06:24:00Z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b362a5a0-85fe-447d-baec-cfaf9bfaca4e</vt:lpwstr>
  </property>
</Properties>
</file>