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77694" w14:textId="77777777" w:rsidR="00B12D01" w:rsidRDefault="00B12D01" w:rsidP="004F72F4">
      <w:pPr>
        <w:spacing w:line="480" w:lineRule="auto"/>
        <w:jc w:val="center"/>
        <w:rPr>
          <w:b/>
          <w:bCs/>
          <w:sz w:val="32"/>
          <w:szCs w:val="32"/>
        </w:rPr>
      </w:pPr>
    </w:p>
    <w:p w14:paraId="115789A8" w14:textId="77777777" w:rsidR="00B12D01" w:rsidRDefault="00B12D01" w:rsidP="004F72F4">
      <w:pPr>
        <w:spacing w:line="480" w:lineRule="auto"/>
        <w:jc w:val="center"/>
        <w:rPr>
          <w:b/>
          <w:bCs/>
          <w:sz w:val="32"/>
          <w:szCs w:val="32"/>
        </w:rPr>
      </w:pPr>
    </w:p>
    <w:p w14:paraId="0EF91BC2" w14:textId="77777777" w:rsidR="00B12D01" w:rsidRDefault="00B12D01" w:rsidP="004F72F4">
      <w:pPr>
        <w:spacing w:line="480" w:lineRule="auto"/>
        <w:jc w:val="center"/>
        <w:rPr>
          <w:b/>
          <w:bCs/>
          <w:sz w:val="32"/>
          <w:szCs w:val="32"/>
        </w:rPr>
      </w:pPr>
    </w:p>
    <w:p w14:paraId="4B503349" w14:textId="6648B949" w:rsidR="00E048AC" w:rsidRPr="001D204C" w:rsidRDefault="003276D6" w:rsidP="004F72F4">
      <w:pPr>
        <w:spacing w:line="480" w:lineRule="auto"/>
        <w:jc w:val="center"/>
        <w:rPr>
          <w:b/>
          <w:bCs/>
          <w:sz w:val="32"/>
          <w:szCs w:val="32"/>
        </w:rPr>
      </w:pPr>
      <w:r w:rsidRPr="001D204C">
        <w:rPr>
          <w:b/>
          <w:bCs/>
          <w:sz w:val="32"/>
          <w:szCs w:val="32"/>
        </w:rPr>
        <w:t xml:space="preserve">Predicting Employee Satisfaction </w:t>
      </w:r>
      <w:r w:rsidR="00D62A39" w:rsidRPr="001D204C">
        <w:rPr>
          <w:b/>
          <w:bCs/>
          <w:sz w:val="32"/>
          <w:szCs w:val="32"/>
        </w:rPr>
        <w:t xml:space="preserve">in the Financial Services Industry </w:t>
      </w:r>
      <w:r w:rsidRPr="001D204C">
        <w:rPr>
          <w:b/>
          <w:bCs/>
          <w:sz w:val="32"/>
          <w:szCs w:val="32"/>
        </w:rPr>
        <w:t xml:space="preserve">Using Financial Performance </w:t>
      </w:r>
    </w:p>
    <w:p w14:paraId="6B44DAD4" w14:textId="659AF956" w:rsidR="003276D6" w:rsidRPr="001D204C" w:rsidRDefault="003276D6" w:rsidP="004F72F4">
      <w:pPr>
        <w:spacing w:line="480" w:lineRule="auto"/>
        <w:jc w:val="center"/>
      </w:pPr>
      <w:r w:rsidRPr="001D204C">
        <w:t>Alexa Canaan</w:t>
      </w:r>
    </w:p>
    <w:p w14:paraId="1984E568" w14:textId="77777777" w:rsidR="00B12D01" w:rsidRPr="001D204C" w:rsidRDefault="00B12D01" w:rsidP="00B12D01">
      <w:pPr>
        <w:spacing w:line="480" w:lineRule="auto"/>
      </w:pPr>
    </w:p>
    <w:p w14:paraId="04AF0931" w14:textId="4827EB07" w:rsidR="003276D6" w:rsidRDefault="003276D6" w:rsidP="004F72F4">
      <w:pPr>
        <w:spacing w:line="480" w:lineRule="auto"/>
        <w:rPr>
          <w:i/>
          <w:iCs/>
        </w:rPr>
      </w:pPr>
      <w:r w:rsidRPr="001D204C">
        <w:t xml:space="preserve">Abstract – </w:t>
      </w:r>
      <w:r w:rsidR="00DD5161" w:rsidRPr="001D204C">
        <w:rPr>
          <w:i/>
          <w:iCs/>
        </w:rPr>
        <w:t xml:space="preserve">I aim to predict the financial performance of firms in the financial services industry based on employee satisfaction and CEO approval ratings. I employ the latest Glassdoor employee satisfaction and CEO ratings on </w:t>
      </w:r>
      <w:r w:rsidR="00242E0D">
        <w:rPr>
          <w:i/>
          <w:iCs/>
        </w:rPr>
        <w:t>99</w:t>
      </w:r>
      <w:r w:rsidR="00DD5161" w:rsidRPr="001D204C">
        <w:rPr>
          <w:i/>
          <w:iCs/>
        </w:rPr>
        <w:t xml:space="preserve"> financial firms and corresponding Capital IQ income statement, balance sheet, and executive compensation data to determine if a relationship exists between employee satisfaction and financial performance. OLS regression models find that employee satisfaction and CEO approval ratings are </w:t>
      </w:r>
      <w:r w:rsidR="00242E0D">
        <w:rPr>
          <w:i/>
          <w:iCs/>
        </w:rPr>
        <w:t>significantly</w:t>
      </w:r>
      <w:r w:rsidR="00DD5161" w:rsidRPr="001D204C">
        <w:rPr>
          <w:i/>
          <w:iCs/>
        </w:rPr>
        <w:t xml:space="preserve"> positively related to</w:t>
      </w:r>
      <w:r w:rsidR="00242E0D">
        <w:rPr>
          <w:i/>
          <w:iCs/>
        </w:rPr>
        <w:t xml:space="preserve"> each other</w:t>
      </w:r>
      <w:r w:rsidR="00750863">
        <w:rPr>
          <w:i/>
          <w:iCs/>
        </w:rPr>
        <w:t xml:space="preserve"> in the financial industry</w:t>
      </w:r>
      <w:r w:rsidR="00242E0D">
        <w:rPr>
          <w:i/>
          <w:iCs/>
        </w:rPr>
        <w:t xml:space="preserve">, and that firm performance alone </w:t>
      </w:r>
      <w:r w:rsidR="00112D74">
        <w:rPr>
          <w:i/>
          <w:iCs/>
        </w:rPr>
        <w:t>does not establish a statistically significant relationship with employee satisfaction</w:t>
      </w:r>
      <w:r w:rsidR="00DD5161" w:rsidRPr="001D204C">
        <w:rPr>
          <w:i/>
          <w:iCs/>
        </w:rPr>
        <w:t xml:space="preserve">. This illustrates the importance of </w:t>
      </w:r>
      <w:r w:rsidR="00343C5F">
        <w:rPr>
          <w:i/>
          <w:iCs/>
        </w:rPr>
        <w:t xml:space="preserve">investing in </w:t>
      </w:r>
      <w:r w:rsidR="0073172D">
        <w:rPr>
          <w:i/>
          <w:iCs/>
        </w:rPr>
        <w:t xml:space="preserve">company </w:t>
      </w:r>
      <w:r w:rsidR="00DD5161" w:rsidRPr="001D204C">
        <w:rPr>
          <w:i/>
          <w:iCs/>
        </w:rPr>
        <w:t xml:space="preserve">intangible internal factors </w:t>
      </w:r>
      <w:r w:rsidR="0073172D">
        <w:rPr>
          <w:i/>
          <w:iCs/>
        </w:rPr>
        <w:t>to improve</w:t>
      </w:r>
      <w:r w:rsidR="007542D0">
        <w:rPr>
          <w:i/>
          <w:iCs/>
        </w:rPr>
        <w:t xml:space="preserve"> </w:t>
      </w:r>
      <w:r w:rsidR="00DD5161" w:rsidRPr="001D204C">
        <w:rPr>
          <w:i/>
          <w:iCs/>
        </w:rPr>
        <w:t>overall firm performance and human resources</w:t>
      </w:r>
      <w:r w:rsidR="0073172D">
        <w:rPr>
          <w:i/>
          <w:iCs/>
        </w:rPr>
        <w:t xml:space="preserve">’ </w:t>
      </w:r>
      <w:r w:rsidR="00DD5161" w:rsidRPr="001D204C">
        <w:rPr>
          <w:i/>
          <w:iCs/>
        </w:rPr>
        <w:t>role in increasing firm value.</w:t>
      </w:r>
    </w:p>
    <w:p w14:paraId="01E08236" w14:textId="3DDCA96D" w:rsidR="00A12D0E" w:rsidRDefault="00A12D0E" w:rsidP="004F72F4">
      <w:pPr>
        <w:spacing w:line="480" w:lineRule="auto"/>
        <w:rPr>
          <w:i/>
          <w:iCs/>
        </w:rPr>
      </w:pPr>
    </w:p>
    <w:p w14:paraId="555C8A05" w14:textId="5A27D056" w:rsidR="00B12D01" w:rsidRDefault="00B12D01" w:rsidP="004F72F4">
      <w:pPr>
        <w:spacing w:line="480" w:lineRule="auto"/>
        <w:rPr>
          <w:i/>
          <w:iCs/>
        </w:rPr>
      </w:pPr>
    </w:p>
    <w:p w14:paraId="44704A02" w14:textId="22D4159B" w:rsidR="00B12D01" w:rsidRDefault="00B12D01" w:rsidP="004F72F4">
      <w:pPr>
        <w:spacing w:line="480" w:lineRule="auto"/>
        <w:rPr>
          <w:i/>
          <w:iCs/>
        </w:rPr>
      </w:pPr>
    </w:p>
    <w:p w14:paraId="7CDB96CA" w14:textId="7362D5B3" w:rsidR="00B12D01" w:rsidRDefault="00B12D01" w:rsidP="004F72F4">
      <w:pPr>
        <w:spacing w:line="480" w:lineRule="auto"/>
        <w:rPr>
          <w:i/>
          <w:iCs/>
        </w:rPr>
      </w:pPr>
    </w:p>
    <w:p w14:paraId="31AD1F7A" w14:textId="77777777" w:rsidR="007A356E" w:rsidRPr="001D204C" w:rsidRDefault="007A356E" w:rsidP="004F72F4">
      <w:pPr>
        <w:spacing w:line="480" w:lineRule="auto"/>
        <w:rPr>
          <w:i/>
          <w:iCs/>
        </w:rPr>
      </w:pPr>
    </w:p>
    <w:p w14:paraId="4CE21C95" w14:textId="34FBB6F3" w:rsidR="003276D6" w:rsidRPr="001D204C" w:rsidRDefault="003276D6" w:rsidP="00DD5161">
      <w:pPr>
        <w:pStyle w:val="ListParagraph"/>
        <w:numPr>
          <w:ilvl w:val="0"/>
          <w:numId w:val="2"/>
        </w:numPr>
        <w:spacing w:line="480" w:lineRule="auto"/>
        <w:jc w:val="center"/>
        <w:rPr>
          <w:b/>
          <w:bCs/>
        </w:rPr>
      </w:pPr>
      <w:r w:rsidRPr="001D204C">
        <w:rPr>
          <w:b/>
          <w:bCs/>
        </w:rPr>
        <w:lastRenderedPageBreak/>
        <w:t>Introduction</w:t>
      </w:r>
    </w:p>
    <w:p w14:paraId="18F20D08" w14:textId="77777777" w:rsidR="00E36C26" w:rsidRDefault="00E36C26" w:rsidP="00E36C26">
      <w:pPr>
        <w:pStyle w:val="NormalWeb"/>
        <w:spacing w:before="0" w:beforeAutospacing="0" w:after="0" w:afterAutospacing="0" w:line="480" w:lineRule="auto"/>
      </w:pPr>
      <w:r>
        <w:rPr>
          <w:color w:val="000000"/>
        </w:rPr>
        <w:t>A central question for financial managers is how to select positive net present value (NPV) projects in order to maximize shareholder wealth. As ESG initiatives rise in popularity and companies begin to incorporate better ethos into the workplace, employee satisfaction has been highlighted as a target metric to improve upon and is becoming increasingly important to consumers and investors. Improving these metrics is also consistent with traditional economic theory. This is because it is theoretically assumed that there is an optimal level of employee productivity given the real value of their wages and benefits, which contributes to an optimal level of firm value. However, unhappy employees are likely to be less productive than happy employees. This lack of productivity coupled with a probable increase in employee turnover is costly to firms and lowers its overall value.</w:t>
      </w:r>
    </w:p>
    <w:p w14:paraId="09243004" w14:textId="6D5123DE" w:rsidR="00E36C26" w:rsidRDefault="00E36C26" w:rsidP="00FC4329">
      <w:pPr>
        <w:pStyle w:val="NormalWeb"/>
        <w:spacing w:before="0" w:beforeAutospacing="0" w:after="0" w:afterAutospacing="0" w:line="480" w:lineRule="auto"/>
        <w:ind w:firstLine="360"/>
      </w:pPr>
      <w:r>
        <w:rPr>
          <w:color w:val="000000"/>
        </w:rPr>
        <w:t>Many firms have included improving employee satisfaction in their plans for financial stability. Kraft Heinz Co., for example, publicized their creation of key performance indicators (KPIs) to improve employee engagement and employee satisfaction in order to reduce turnover (Nunes, 2020). Not only is there internal pressure to focus on employee satisfaction, but companies are now being chastised by the media for not providing safe and fair environments for their workers. Michael Bloomberg came under fire during his short run for president for buying the silence of unhappy employees, which ultimately harmed his campaign (Silver-Greenberg et al., 2020). This is especially interesting to research in the context of the financial services industry because of its reputation as being stressful, requiring long and demanding hours of its employees. Using data from Capital IQ and Glassdoor, I investigate if financial performance in the financial services industry is associated with employee satisfaction.</w:t>
      </w:r>
      <w:r w:rsidR="00422733">
        <w:rPr>
          <w:color w:val="000000"/>
        </w:rPr>
        <w:t xml:space="preserve"> My</w:t>
      </w:r>
      <w:r w:rsidR="00FC4329">
        <w:t xml:space="preserve"> </w:t>
      </w:r>
      <w:r w:rsidR="00754315">
        <w:rPr>
          <w:color w:val="000000"/>
        </w:rPr>
        <w:t>OLS regressions reveal</w:t>
      </w:r>
      <w:r>
        <w:rPr>
          <w:color w:val="000000"/>
        </w:rPr>
        <w:t xml:space="preserve"> that there is a</w:t>
      </w:r>
      <w:r w:rsidR="00752C35">
        <w:rPr>
          <w:color w:val="000000"/>
        </w:rPr>
        <w:t xml:space="preserve">n </w:t>
      </w:r>
      <w:r w:rsidR="00DD462E">
        <w:rPr>
          <w:color w:val="000000"/>
        </w:rPr>
        <w:t>insignificant</w:t>
      </w:r>
      <w:r>
        <w:rPr>
          <w:color w:val="000000"/>
        </w:rPr>
        <w:t xml:space="preserve"> linear relationship between employee satisfaction and </w:t>
      </w:r>
      <w:r>
        <w:rPr>
          <w:color w:val="000000"/>
        </w:rPr>
        <w:lastRenderedPageBreak/>
        <w:t>financial performance that is strengthened by CEO approval ratings.</w:t>
      </w:r>
      <w:r w:rsidR="00034E82">
        <w:rPr>
          <w:color w:val="000000"/>
        </w:rPr>
        <w:t xml:space="preserve"> The predictability of the model increases only slightly when controlling for aspects of CEO compensation and company leverage. This </w:t>
      </w:r>
      <w:r w:rsidR="00C06A90">
        <w:rPr>
          <w:color w:val="000000"/>
        </w:rPr>
        <w:t xml:space="preserve">highlights the importance of executive leadership in the financial industry and </w:t>
      </w:r>
      <w:r w:rsidR="009F4104">
        <w:rPr>
          <w:color w:val="000000"/>
        </w:rPr>
        <w:t>focusing on intangible</w:t>
      </w:r>
      <w:r w:rsidR="00305400">
        <w:rPr>
          <w:color w:val="000000"/>
        </w:rPr>
        <w:t xml:space="preserve"> factors to unify employees and </w:t>
      </w:r>
      <w:r w:rsidR="001A374B">
        <w:rPr>
          <w:color w:val="000000"/>
        </w:rPr>
        <w:t>potentially increase productivity.</w:t>
      </w:r>
    </w:p>
    <w:p w14:paraId="264CC601" w14:textId="305EA29B" w:rsidR="003276D6" w:rsidRPr="001D204C" w:rsidRDefault="003276D6" w:rsidP="00486EBA">
      <w:pPr>
        <w:pStyle w:val="ListParagraph"/>
        <w:numPr>
          <w:ilvl w:val="0"/>
          <w:numId w:val="2"/>
        </w:numPr>
        <w:spacing w:line="480" w:lineRule="auto"/>
        <w:jc w:val="center"/>
        <w:rPr>
          <w:b/>
          <w:bCs/>
        </w:rPr>
      </w:pPr>
      <w:r w:rsidRPr="001D204C">
        <w:rPr>
          <w:b/>
          <w:bCs/>
        </w:rPr>
        <w:t>Literature Review</w:t>
      </w:r>
    </w:p>
    <w:p w14:paraId="07958657" w14:textId="77777777" w:rsidR="00512C20" w:rsidRDefault="00512C20" w:rsidP="00512C20">
      <w:pPr>
        <w:pStyle w:val="NormalWeb"/>
        <w:spacing w:before="0" w:beforeAutospacing="0" w:after="0" w:afterAutospacing="0" w:line="480" w:lineRule="auto"/>
      </w:pPr>
      <w:r>
        <w:rPr>
          <w:color w:val="000000"/>
        </w:rPr>
        <w:t>My research question lies at the intersection of employee satisfaction and financial performance in the context of the corporate culture in banking, which can be seen as intense. This culture can be illustrated by a recent New York Times article documenting how Bank of America (BAML) put the needs of the company ahead of its employees during the COVID-19 crisis. Despite the fact that New York City was and continues to be the epicenter of the virus, BAML executives publicly praised individuals who made the commute to the office every day and risked infecting themselves and others (Kelly &amp; Silver-Greenberg, 2020). This pressured many employees to weigh the tradeoff between risking infecting themselves and their families to travel to work or to tele-commute and risk losing their jobs and income, a fear that is currently permeating through Wall Street (Kelly &amp; Silver-Greenberg, 2020). While many would assume that employee satisfaction is low, it begs the question why employees stay dedicated to the hard-driving corporate culture of finance.</w:t>
      </w:r>
    </w:p>
    <w:p w14:paraId="0E4F6251" w14:textId="77777777" w:rsidR="00512C20" w:rsidRDefault="00512C20" w:rsidP="00512C20">
      <w:pPr>
        <w:pStyle w:val="NormalWeb"/>
        <w:spacing w:before="0" w:beforeAutospacing="0" w:after="0" w:afterAutospacing="0" w:line="480" w:lineRule="auto"/>
        <w:ind w:firstLine="360"/>
      </w:pPr>
      <w:r>
        <w:rPr>
          <w:color w:val="000000"/>
        </w:rPr>
        <w:t xml:space="preserve">Holistically, it has been found that employee satisfaction and satisfaction with senior leadership positively impacts firm profitability. </w:t>
      </w:r>
      <w:proofErr w:type="spellStart"/>
      <w:r>
        <w:rPr>
          <w:color w:val="000000"/>
          <w:shd w:val="clear" w:color="auto" w:fill="FFFFFF"/>
        </w:rPr>
        <w:t>Melián</w:t>
      </w:r>
      <w:proofErr w:type="spellEnd"/>
      <w:r>
        <w:rPr>
          <w:color w:val="000000"/>
          <w:shd w:val="clear" w:color="auto" w:fill="FFFFFF"/>
        </w:rPr>
        <w:t>-González et al. (2015) researched and confirmed this exact finding using return on assets (ROA), operating margin, and revenue per employee as their outcome variables.  Employing Glassdoor data on 475 firms, they found that overall satisfaction and CEO satisfaction was associated with firm performance (</w:t>
      </w:r>
      <w:proofErr w:type="spellStart"/>
      <w:r>
        <w:rPr>
          <w:color w:val="000000"/>
          <w:shd w:val="clear" w:color="auto" w:fill="FFFFFF"/>
        </w:rPr>
        <w:t>Melián</w:t>
      </w:r>
      <w:proofErr w:type="spellEnd"/>
      <w:r>
        <w:rPr>
          <w:color w:val="000000"/>
          <w:shd w:val="clear" w:color="auto" w:fill="FFFFFF"/>
        </w:rPr>
        <w:t xml:space="preserve">-González et al., 2015, p.1). Another study by XYZ </w:t>
      </w:r>
      <w:r>
        <w:rPr>
          <w:color w:val="000000"/>
        </w:rPr>
        <w:t xml:space="preserve">Chamberlain (2015) created a portfolio of </w:t>
      </w:r>
      <w:r>
        <w:rPr>
          <w:color w:val="000000"/>
        </w:rPr>
        <w:lastRenderedPageBreak/>
        <w:t>Glassdoor’s “Best Places to Work” list and Fortune’s 100 “Best Companies to Work For” list and found that the portfolio outperformed the S&amp;P 500 from 2009-2014. Individually, Fortune’s list outperformed the S&amp;P 500 by 84.2% and Glassdoor’s list outperformed it by 115.6% (Chamberlain, 2015, p.2). Moreover, 30 of Glassdoor’s companies with the lowest employee ratings underperformed the market from 2009 to 2014 (Chamberlain, 2015, p.2). These statistics are important for both individual firms and investors. Individuals may invest in companies with better employee satisfaction for higher returns, further motivating firms to invest in their employees in order to attract investors.</w:t>
      </w:r>
    </w:p>
    <w:p w14:paraId="167B856F" w14:textId="77777777" w:rsidR="00512C20" w:rsidRDefault="00512C20" w:rsidP="00512C20">
      <w:pPr>
        <w:pStyle w:val="NormalWeb"/>
        <w:spacing w:before="0" w:beforeAutospacing="0" w:after="0" w:afterAutospacing="0" w:line="480" w:lineRule="auto"/>
        <w:ind w:firstLine="360"/>
      </w:pPr>
      <w:proofErr w:type="spellStart"/>
      <w:r>
        <w:rPr>
          <w:color w:val="000000"/>
          <w:shd w:val="clear" w:color="auto" w:fill="FFFFFF"/>
        </w:rPr>
        <w:t>Symitsi</w:t>
      </w:r>
      <w:proofErr w:type="spellEnd"/>
      <w:r>
        <w:rPr>
          <w:color w:val="000000"/>
          <w:shd w:val="clear" w:color="auto" w:fill="FFFFFF"/>
        </w:rPr>
        <w:t xml:space="preserve"> et al. (2018) similarly found that employee satisfaction positively impacted firm profitability using Glassdoor data on 164 firms from the UK from 2014 to 2017. They built off of these findings by calculating the risk-adjusted returns for the firms using the Capital Asset Pricing Model (CAPM) and </w:t>
      </w:r>
      <w:proofErr w:type="spellStart"/>
      <w:r>
        <w:rPr>
          <w:color w:val="000000"/>
          <w:shd w:val="clear" w:color="auto" w:fill="FFFFFF"/>
        </w:rPr>
        <w:t>Fama</w:t>
      </w:r>
      <w:proofErr w:type="spellEnd"/>
      <w:r>
        <w:rPr>
          <w:color w:val="000000"/>
          <w:shd w:val="clear" w:color="auto" w:fill="FFFFFF"/>
        </w:rPr>
        <w:t xml:space="preserve">-French’s three-factor model. The CAPM is a theoretical formula that states that the expected return on an individual security is the sum of the risk-free rate and compensation for bearing risk (sensitivity to market risk premium) and </w:t>
      </w:r>
      <w:proofErr w:type="spellStart"/>
      <w:r>
        <w:rPr>
          <w:color w:val="000000"/>
          <w:shd w:val="clear" w:color="auto" w:fill="FFFFFF"/>
        </w:rPr>
        <w:t>Fama</w:t>
      </w:r>
      <w:proofErr w:type="spellEnd"/>
      <w:r>
        <w:rPr>
          <w:color w:val="000000"/>
          <w:shd w:val="clear" w:color="auto" w:fill="FFFFFF"/>
        </w:rPr>
        <w:t>-French’s three-factor model states that the expected return on an individual security is based on the market, the size of the company (preferring smaller companies), and its book-to-market ratio (preferring value companies). Both methods found that investing in firms with happier employees resulted in significant abnormal returns (</w:t>
      </w:r>
      <w:proofErr w:type="spellStart"/>
      <w:r>
        <w:rPr>
          <w:color w:val="000000"/>
          <w:shd w:val="clear" w:color="auto" w:fill="FFFFFF"/>
        </w:rPr>
        <w:t>Symitsi</w:t>
      </w:r>
      <w:proofErr w:type="spellEnd"/>
      <w:r>
        <w:rPr>
          <w:color w:val="000000"/>
          <w:shd w:val="clear" w:color="auto" w:fill="FFFFFF"/>
        </w:rPr>
        <w:t xml:space="preserve"> et al., 2018, p.6-7). While this research on market returns differs from the previous article mentioned, I hope that my research can contribute to this ongoing debate by testing these findings on an industry level.</w:t>
      </w:r>
    </w:p>
    <w:p w14:paraId="1BBABC28" w14:textId="176C8A0D" w:rsidR="00512C20" w:rsidRDefault="00512C20" w:rsidP="00512C20">
      <w:pPr>
        <w:pStyle w:val="NormalWeb"/>
        <w:spacing w:before="0" w:beforeAutospacing="0" w:after="0" w:afterAutospacing="0" w:line="480" w:lineRule="auto"/>
        <w:ind w:firstLine="360"/>
      </w:pPr>
      <w:r>
        <w:rPr>
          <w:color w:val="000000"/>
        </w:rPr>
        <w:t xml:space="preserve">While the positive relationship between employee satisfaction and firm performance has been consistent in the context of the wider market, the magnitude of the effect has been found to differ depending on executive structure. For example, Huang et al. (2015) used Glassdoor data </w:t>
      </w:r>
      <w:r>
        <w:rPr>
          <w:color w:val="000000"/>
        </w:rPr>
        <w:lastRenderedPageBreak/>
        <w:t xml:space="preserve">from 2008 to 2012 to find that family firms exhibit a human-capital-enhancing culture that improves firm performance relative to scion firms or those without active founders. Therefore, I include CEO approval ratings and executive compensation in my regression, as they both affect the magnitude of employee satisfaction generally. Huang et al. (2015) also cites using ROA as a predictive variable, which motivated me to consider both ROA and return on equity (ROE) as </w:t>
      </w:r>
      <w:r w:rsidR="00BF5F0D">
        <w:rPr>
          <w:color w:val="000000"/>
        </w:rPr>
        <w:t>independent</w:t>
      </w:r>
      <w:r>
        <w:rPr>
          <w:color w:val="000000"/>
        </w:rPr>
        <w:t xml:space="preserve"> variables of my analysis.</w:t>
      </w:r>
    </w:p>
    <w:p w14:paraId="65D11349" w14:textId="590EFB4A" w:rsidR="00512C20" w:rsidRDefault="00512C20" w:rsidP="00512C20">
      <w:pPr>
        <w:pStyle w:val="NormalWeb"/>
        <w:spacing w:before="0" w:beforeAutospacing="0" w:after="0" w:afterAutospacing="0" w:line="480" w:lineRule="auto"/>
        <w:ind w:firstLine="360"/>
      </w:pPr>
      <w:r>
        <w:rPr>
          <w:color w:val="000000"/>
        </w:rPr>
        <w:t>Employee satisfaction’s association with firm value is strengthened by its association with firm risk. Ji et al. (2017) found that employee satisfaction is specifically associated with financial reporting risk using Glassdoor data from 2008 to 2015. Firms with lower levels of job satisfaction and culture were associated with increased rates of SEC fraud enforcement actions and securities class action lawsuits</w:t>
      </w:r>
      <w:r w:rsidR="00CD507F">
        <w:rPr>
          <w:color w:val="000000"/>
        </w:rPr>
        <w:t xml:space="preserve">, although </w:t>
      </w:r>
      <w:r>
        <w:rPr>
          <w:color w:val="000000"/>
        </w:rPr>
        <w:t>this fraudulent effect was mitigated with high CEO approval ratings (Ji et al., 2017, p.1). Ji et al. (2017) also was able to explain the relevance of Glassdoor data and supported that Glassdoor provides unbiased data from a corporate perspective because the metrics are not inflated, unlike self-reported metrics by management. Selection bias is also somewhat minimized on Glassdoor because all users that want to use the job search function need to fill out an employment ratings survey (Ji et al., 2017, p. 6).</w:t>
      </w:r>
    </w:p>
    <w:p w14:paraId="20DDBFAC" w14:textId="45A388D6" w:rsidR="00512C20" w:rsidRDefault="00512C20" w:rsidP="007E2E1B">
      <w:pPr>
        <w:pStyle w:val="NormalWeb"/>
        <w:spacing w:before="0" w:beforeAutospacing="0" w:after="0" w:afterAutospacing="0" w:line="480" w:lineRule="auto"/>
        <w:ind w:firstLine="360"/>
      </w:pPr>
      <w:r>
        <w:rPr>
          <w:color w:val="000000"/>
        </w:rPr>
        <w:t>Ji et al.’s (2017) research was supported by a paper released by the New York Fed, which cited the importance of company culture, specifically for the banking industry, as an integral part of its risk management. They highlighted that strong culture can act as a coordination mechanism by simultaneously helping employees reach their own personal desirable outcomes and eliminating Nash equilibria where employees behave poorly, reducing operational risk (</w:t>
      </w:r>
      <w:proofErr w:type="spellStart"/>
      <w:r>
        <w:rPr>
          <w:color w:val="000000"/>
        </w:rPr>
        <w:t>Thakor</w:t>
      </w:r>
      <w:proofErr w:type="spellEnd"/>
      <w:r>
        <w:rPr>
          <w:color w:val="000000"/>
        </w:rPr>
        <w:t xml:space="preserve">, 2015, p. 13). Their framework emphasizes the importance of the banking industry investing in their intangibles to improve firm value and using human resources to unify and optimize their </w:t>
      </w:r>
      <w:r>
        <w:rPr>
          <w:color w:val="000000"/>
        </w:rPr>
        <w:lastRenderedPageBreak/>
        <w:t>operations. The paper suggests regulators should step in to improve company culture to eliminate ethical lapses (</w:t>
      </w:r>
      <w:proofErr w:type="spellStart"/>
      <w:r>
        <w:rPr>
          <w:color w:val="000000"/>
        </w:rPr>
        <w:t>Thakor</w:t>
      </w:r>
      <w:proofErr w:type="spellEnd"/>
      <w:r>
        <w:rPr>
          <w:color w:val="000000"/>
        </w:rPr>
        <w:t xml:space="preserve">, 2015, p.13). Clearly, employee satisfaction and company culture </w:t>
      </w:r>
      <w:r w:rsidR="004E28A0">
        <w:rPr>
          <w:color w:val="000000"/>
        </w:rPr>
        <w:t>are at least</w:t>
      </w:r>
      <w:r>
        <w:rPr>
          <w:color w:val="000000"/>
        </w:rPr>
        <w:t xml:space="preserve"> indirect</w:t>
      </w:r>
      <w:r w:rsidR="004E28A0">
        <w:rPr>
          <w:color w:val="000000"/>
        </w:rPr>
        <w:t>ly</w:t>
      </w:r>
      <w:r>
        <w:rPr>
          <w:color w:val="000000"/>
        </w:rPr>
        <w:t xml:space="preserve"> </w:t>
      </w:r>
      <w:r w:rsidR="004E28A0">
        <w:rPr>
          <w:color w:val="000000"/>
        </w:rPr>
        <w:t>related to</w:t>
      </w:r>
      <w:r>
        <w:rPr>
          <w:color w:val="000000"/>
        </w:rPr>
        <w:t xml:space="preserve"> firm value</w:t>
      </w:r>
      <w:r w:rsidR="004E28A0">
        <w:rPr>
          <w:color w:val="000000"/>
        </w:rPr>
        <w:t>.</w:t>
      </w:r>
    </w:p>
    <w:p w14:paraId="760EEF64" w14:textId="77777777" w:rsidR="00512C20" w:rsidRDefault="00512C20" w:rsidP="007E2E1B">
      <w:pPr>
        <w:pStyle w:val="NormalWeb"/>
        <w:spacing w:before="0" w:beforeAutospacing="0" w:after="0" w:afterAutospacing="0" w:line="480" w:lineRule="auto"/>
        <w:ind w:firstLine="360"/>
      </w:pPr>
      <w:r>
        <w:rPr>
          <w:color w:val="000000"/>
        </w:rPr>
        <w:t>It is important to note that Glassdoor data has been validated in its use as job satisfaction data. Landers et al. (2019) researched the validity of Glassdoor data by comparing the Federal Employee Viewpoint Survey to Glassdoor data at the agency level in using 2017 data and found that they were significantly correlated with an R value of .516. This supports using Glassdoor ratings as a measure of overall job satisfaction at the organizational level and combining it with traditional data for research. This lends credibility to my research as well as to previous research off of which my questions are based. </w:t>
      </w:r>
    </w:p>
    <w:p w14:paraId="3602BB3A" w14:textId="77777777" w:rsidR="00512C20" w:rsidRDefault="00512C20" w:rsidP="007E2E1B">
      <w:pPr>
        <w:pStyle w:val="NormalWeb"/>
        <w:spacing w:before="0" w:beforeAutospacing="0" w:after="0" w:afterAutospacing="0" w:line="480" w:lineRule="auto"/>
        <w:ind w:firstLine="360"/>
      </w:pPr>
      <w:r>
        <w:rPr>
          <w:color w:val="000000"/>
        </w:rPr>
        <w:t>CEO approval ratings are highest in the financial sectors on Glassdoor, with real estate having an average rating of 76.1%, finance having an average rating of 72.4%, and insurance having an average rating of 71.8% as of 2016 (Chamberlain &amp; Huang, 2016, p.4). These ratings are driven by culture and directly related to company performance, supporting the interrelations between these factors. Studies in financial economics have shown that employee satisfaction and CEO approval are integral to the success of financial firms. Barth (2016) found that competition-oriented firms attract competitive workers which contributes to internal competition and increasing firm value, although CEO compensation lessens the magnitude of this effect. This is critical, as it highlights that the key to employee satisfaction, particularly in finance, is employee-firm culture matching.</w:t>
      </w:r>
    </w:p>
    <w:p w14:paraId="132ECE4A" w14:textId="38CDF1EF" w:rsidR="00512C20" w:rsidRDefault="00512C20" w:rsidP="007E2E1B">
      <w:pPr>
        <w:pStyle w:val="NormalWeb"/>
        <w:spacing w:before="0" w:beforeAutospacing="0" w:after="0" w:afterAutospacing="0" w:line="480" w:lineRule="auto"/>
        <w:ind w:firstLine="360"/>
      </w:pPr>
      <w:r>
        <w:rPr>
          <w:color w:val="000000"/>
        </w:rPr>
        <w:t xml:space="preserve">Given the knowledge from previous empirical literature, I hypothesize that the financial performance of financial firms will have a positive relationship with overall employee satisfaction and CEO approval ratings. At the very least, previous research supports that </w:t>
      </w:r>
      <w:r>
        <w:rPr>
          <w:color w:val="000000"/>
        </w:rPr>
        <w:lastRenderedPageBreak/>
        <w:t>employee satisfaction and CEO approval should be positively associated with firm value as improving these metrics reduces costs related to hiring and operational inefficiencies.</w:t>
      </w:r>
    </w:p>
    <w:p w14:paraId="68B9D4B8" w14:textId="615982C6" w:rsidR="003276D6" w:rsidRPr="001D204C" w:rsidRDefault="003276D6" w:rsidP="00486EBA">
      <w:pPr>
        <w:pStyle w:val="ListParagraph"/>
        <w:numPr>
          <w:ilvl w:val="0"/>
          <w:numId w:val="2"/>
        </w:numPr>
        <w:spacing w:line="480" w:lineRule="auto"/>
        <w:jc w:val="center"/>
        <w:rPr>
          <w:b/>
          <w:bCs/>
        </w:rPr>
      </w:pPr>
      <w:r w:rsidRPr="001D204C">
        <w:rPr>
          <w:b/>
          <w:bCs/>
        </w:rPr>
        <w:t>Data and Summary Statistics</w:t>
      </w:r>
    </w:p>
    <w:p w14:paraId="50F25647" w14:textId="12EF69F3" w:rsidR="00983500" w:rsidRDefault="00983500" w:rsidP="00983500">
      <w:pPr>
        <w:pStyle w:val="NormalWeb"/>
        <w:spacing w:before="0" w:beforeAutospacing="0" w:after="0" w:afterAutospacing="0" w:line="480" w:lineRule="auto"/>
      </w:pPr>
      <w:r>
        <w:rPr>
          <w:color w:val="000000"/>
        </w:rPr>
        <w:t xml:space="preserve">I use data from Capital IQ and Glassdoor to complete my analysis. Capital IQ, part of S&amp;P’s Global Market Intelligence platform, is a repository of financial information on private and public firms that is updated in real-time. I specifically used balance sheet, income statement, executive compensation, and general firm information to develop financial ratios to be used in the analysis of each firm’s financial performance and merged these datasets togethers. I created ROA and ROE using 2019’s net income and 2018’s total assets and equity. ROA reflects how much each dollar in a firm’s assets generates profit and ROE reflects how much each dollar in equity generates profit. </w:t>
      </w:r>
      <w:r w:rsidR="0067666F">
        <w:rPr>
          <w:color w:val="000000"/>
        </w:rPr>
        <w:t xml:space="preserve">Specifically, ROA is comprised of a firm’s profit margin (operating efficiency) and total asset turnover (asset use efficiency). </w:t>
      </w:r>
      <w:r>
        <w:rPr>
          <w:color w:val="000000"/>
        </w:rPr>
        <w:t>I chose these measures to reflect firm performance following previous empirical research and also because of their usefulness in cross-industry analysis. </w:t>
      </w:r>
    </w:p>
    <w:p w14:paraId="7BE4B64F" w14:textId="6B91EA3C" w:rsidR="00983500" w:rsidRDefault="00983500" w:rsidP="00983500">
      <w:pPr>
        <w:pStyle w:val="NormalWeb"/>
        <w:spacing w:before="0" w:beforeAutospacing="0" w:after="0" w:afterAutospacing="0" w:line="480" w:lineRule="auto"/>
        <w:ind w:firstLine="360"/>
      </w:pPr>
      <w:r>
        <w:rPr>
          <w:color w:val="000000"/>
        </w:rPr>
        <w:t xml:space="preserve">I also include earnings per share (EPS) in my analysis which is calculated as net income divided by shares outstanding. It represents average profitability per share outstanding and reflects if an association between firm performance and employee satisfaction maximizes shareholder wealth. I include the Debt-Equity ratio to control for the general riskiness of the firms. The Debt-Equity ratio is calculated by dividing total debt by total equity and reflects how levered a firm is. </w:t>
      </w:r>
    </w:p>
    <w:p w14:paraId="79B80FE3" w14:textId="66F7BD50" w:rsidR="002976A9" w:rsidRDefault="00983500" w:rsidP="00983500">
      <w:pPr>
        <w:pStyle w:val="NormalWeb"/>
        <w:spacing w:before="0" w:beforeAutospacing="0" w:after="0" w:afterAutospacing="0" w:line="480" w:lineRule="auto"/>
        <w:ind w:firstLine="360"/>
        <w:rPr>
          <w:color w:val="000000"/>
        </w:rPr>
      </w:pPr>
      <w:r>
        <w:rPr>
          <w:color w:val="000000"/>
        </w:rPr>
        <w:t xml:space="preserve">After merging the datasets and filtering them for firms with a SIC code between 6000 and 6999, I was left with 105 financial firms. Next, I found the corresponding employee satisfaction data on Glassdoor for each firm. Glassdoor is a website where current and former employees can </w:t>
      </w:r>
      <w:r>
        <w:rPr>
          <w:color w:val="000000"/>
        </w:rPr>
        <w:lastRenderedPageBreak/>
        <w:t>review companies and provide supplemental information such as salary ranges and benefits.</w:t>
      </w:r>
      <w:r w:rsidR="006703DA">
        <w:rPr>
          <w:color w:val="000000"/>
        </w:rPr>
        <w:t xml:space="preserve"> While reviewers can </w:t>
      </w:r>
      <w:r w:rsidR="004045FB">
        <w:rPr>
          <w:color w:val="000000"/>
        </w:rPr>
        <w:t>provide information such as wh</w:t>
      </w:r>
      <w:r w:rsidR="009F1CDC">
        <w:rPr>
          <w:color w:val="000000"/>
        </w:rPr>
        <w:t>at office they work in, due to the large number of missing observations I exclude this information from my analysis.</w:t>
      </w:r>
      <w:r>
        <w:rPr>
          <w:color w:val="000000"/>
        </w:rPr>
        <w:t xml:space="preserve"> I collected each financial firm’s corresponding average overall employee satisfaction rating, likelihood to recommend to a friend rating, and CEO approval rating to supplement my analysis. The average ratings are updated every time a new review is made but are up to date as of March 2020 when I collected the data. Since Glassdoor does not provide public datasets, I collected these metrics manually, by searching for each company on Glassdoor and scraping the ratings from each company’s “Review” tab.</w:t>
      </w:r>
      <w:r w:rsidR="0017299F">
        <w:rPr>
          <w:color w:val="000000"/>
        </w:rPr>
        <w:t xml:space="preserve"> Manually collecting the data prevented me from collecting all available metrics, such as </w:t>
      </w:r>
      <w:r w:rsidR="00F01573">
        <w:rPr>
          <w:color w:val="000000"/>
        </w:rPr>
        <w:t>number of reviews per company, but I encourage others to include this in further research.</w:t>
      </w:r>
      <w:r>
        <w:rPr>
          <w:color w:val="000000"/>
        </w:rPr>
        <w:t xml:space="preserve"> I cleared all filters and confirmed each company was the correct company of interest by matching the headquarters information from Capital IQ to the headquarters listed on Glassdoor. I then inputted each rating into my STATA do file by creating an overall satisfaction rating variable, a friend recommendation variable, and a CEO approval variable. I paired these ratings with each financial services company’s latest financial information, which is 2019 quarter 4. I do minimal data cleaning, as most research papers made no mention of cleaning potential outliers.</w:t>
      </w:r>
      <w:r w:rsidR="00042EE0">
        <w:rPr>
          <w:color w:val="000000"/>
        </w:rPr>
        <w:t xml:space="preserve"> </w:t>
      </w:r>
    </w:p>
    <w:p w14:paraId="422D74E6" w14:textId="7450CDE6" w:rsidR="00353E50" w:rsidRPr="00590BF2" w:rsidRDefault="00042EE0" w:rsidP="00590BF2">
      <w:pPr>
        <w:pStyle w:val="NormalWeb"/>
        <w:spacing w:before="0" w:beforeAutospacing="0" w:after="0" w:afterAutospacing="0" w:line="480" w:lineRule="auto"/>
        <w:ind w:firstLine="360"/>
      </w:pPr>
      <w:r>
        <w:rPr>
          <w:color w:val="000000"/>
        </w:rPr>
        <w:t xml:space="preserve">The following figures describe the general distribution of the key variables of interest. </w:t>
      </w:r>
      <w:r w:rsidR="006F65F3">
        <w:rPr>
          <w:color w:val="000000"/>
        </w:rPr>
        <w:t>As we can see</w:t>
      </w:r>
      <w:r w:rsidR="00DF1490">
        <w:rPr>
          <w:color w:val="000000"/>
        </w:rPr>
        <w:t xml:space="preserve"> from Figure 1 and Table 1</w:t>
      </w:r>
      <w:r w:rsidR="006F65F3">
        <w:rPr>
          <w:color w:val="000000"/>
        </w:rPr>
        <w:t xml:space="preserve">, the interquartile range for </w:t>
      </w:r>
      <w:r w:rsidR="00DF1490">
        <w:rPr>
          <w:color w:val="000000"/>
        </w:rPr>
        <w:t>ROA is between</w:t>
      </w:r>
      <w:r w:rsidR="00022268">
        <w:rPr>
          <w:color w:val="000000"/>
        </w:rPr>
        <w:t xml:space="preserve"> 0.00 and 0.02</w:t>
      </w:r>
      <w:r w:rsidR="00FD0907">
        <w:rPr>
          <w:color w:val="000000"/>
        </w:rPr>
        <w:t xml:space="preserve">. Figure 2 illustrates that </w:t>
      </w:r>
      <w:r w:rsidR="00DC4989">
        <w:rPr>
          <w:color w:val="000000"/>
        </w:rPr>
        <w:t>ROE has a slightly larger range</w:t>
      </w:r>
      <w:r w:rsidR="00004A47">
        <w:rPr>
          <w:color w:val="000000"/>
        </w:rPr>
        <w:t xml:space="preserve"> with the majority of observations between 0.00 and 0.10, with one outlier at 0.40. </w:t>
      </w:r>
      <w:r w:rsidR="00AA657B">
        <w:rPr>
          <w:color w:val="000000"/>
        </w:rPr>
        <w:t xml:space="preserve">It theoretically makes sense that ROE has larger values than ROA due to the DuPont Identity. </w:t>
      </w:r>
      <w:r w:rsidR="00E838EE">
        <w:rPr>
          <w:color w:val="000000"/>
        </w:rPr>
        <w:t xml:space="preserve">It states that the ROE of a firm is calculated by multiplying a firm’s ROA by </w:t>
      </w:r>
      <w:r w:rsidR="00E30BF0">
        <w:rPr>
          <w:color w:val="000000"/>
        </w:rPr>
        <w:t>its equity multiplier</w:t>
      </w:r>
      <w:r w:rsidR="00E57EA9">
        <w:rPr>
          <w:color w:val="000000"/>
        </w:rPr>
        <w:t xml:space="preserve"> (representing a firm’s financial leverage)</w:t>
      </w:r>
      <w:r w:rsidR="00E30BF0">
        <w:rPr>
          <w:color w:val="000000"/>
        </w:rPr>
        <w:t xml:space="preserve">. </w:t>
      </w:r>
    </w:p>
    <w:p w14:paraId="103F7E26" w14:textId="785DD125" w:rsidR="00224E1A" w:rsidRPr="001D204C" w:rsidRDefault="00224E1A" w:rsidP="00921D75">
      <w:pPr>
        <w:jc w:val="center"/>
        <w:rPr>
          <w:b/>
          <w:bCs/>
        </w:rPr>
      </w:pPr>
      <w:r w:rsidRPr="001D204C">
        <w:rPr>
          <w:b/>
          <w:bCs/>
        </w:rPr>
        <w:lastRenderedPageBreak/>
        <w:t xml:space="preserve">Figure 1: Distribution of ROA </w:t>
      </w:r>
      <w:r w:rsidR="008E1E24" w:rsidRPr="001D204C">
        <w:rPr>
          <w:b/>
          <w:bCs/>
        </w:rPr>
        <w:t>for Financial Services Companies</w:t>
      </w:r>
    </w:p>
    <w:p w14:paraId="2D7A259F" w14:textId="65ABA9A3" w:rsidR="00C04601" w:rsidRPr="00C04601" w:rsidRDefault="00714886" w:rsidP="00C04601">
      <w:r w:rsidRPr="001D204C">
        <w:drawing>
          <wp:inline distT="0" distB="0" distL="0" distR="0" wp14:anchorId="6826835C" wp14:editId="4567C3C9">
            <wp:extent cx="2966252" cy="2157274"/>
            <wp:effectExtent l="0" t="0" r="571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045" cy="2173123"/>
                    </a:xfrm>
                    <a:prstGeom prst="rect">
                      <a:avLst/>
                    </a:prstGeom>
                  </pic:spPr>
                </pic:pic>
              </a:graphicData>
            </a:graphic>
          </wp:inline>
        </w:drawing>
      </w:r>
      <w:r w:rsidR="009164A6" w:rsidRPr="001D204C">
        <w:drawing>
          <wp:inline distT="0" distB="0" distL="0" distR="0" wp14:anchorId="1BC486D8" wp14:editId="792042B2">
            <wp:extent cx="2966252" cy="2157274"/>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4688" cy="2163410"/>
                    </a:xfrm>
                    <a:prstGeom prst="rect">
                      <a:avLst/>
                    </a:prstGeom>
                  </pic:spPr>
                </pic:pic>
              </a:graphicData>
            </a:graphic>
          </wp:inline>
        </w:drawing>
      </w:r>
    </w:p>
    <w:p w14:paraId="2255EB67" w14:textId="14E7CBE9" w:rsidR="003C5028" w:rsidRPr="001D204C" w:rsidRDefault="003C5028" w:rsidP="003C5028"/>
    <w:p w14:paraId="1B866956" w14:textId="66E73233" w:rsidR="00AC4202" w:rsidRPr="001D204C" w:rsidRDefault="00AC4202" w:rsidP="00921D75">
      <w:pPr>
        <w:jc w:val="center"/>
        <w:rPr>
          <w:b/>
          <w:bCs/>
        </w:rPr>
      </w:pPr>
      <w:r w:rsidRPr="001D204C">
        <w:rPr>
          <w:b/>
          <w:bCs/>
        </w:rPr>
        <w:t>Figure 2: Distribution of ROE for Financial Services Companies</w:t>
      </w:r>
    </w:p>
    <w:p w14:paraId="5D8D594C" w14:textId="4A79357D" w:rsidR="00DC6C89" w:rsidRDefault="00714886" w:rsidP="00CD507F">
      <w:r w:rsidRPr="001D204C">
        <w:drawing>
          <wp:inline distT="0" distB="0" distL="0" distR="0" wp14:anchorId="4FC8DB7D" wp14:editId="4A85DBFB">
            <wp:extent cx="2966252" cy="2157274"/>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9380" cy="2174094"/>
                    </a:xfrm>
                    <a:prstGeom prst="rect">
                      <a:avLst/>
                    </a:prstGeom>
                  </pic:spPr>
                </pic:pic>
              </a:graphicData>
            </a:graphic>
          </wp:inline>
        </w:drawing>
      </w:r>
      <w:r w:rsidR="009164A6" w:rsidRPr="001D204C">
        <w:drawing>
          <wp:inline distT="0" distB="0" distL="0" distR="0" wp14:anchorId="2CD40C9D" wp14:editId="243F8D3D">
            <wp:extent cx="2966252" cy="2157274"/>
            <wp:effectExtent l="0" t="0" r="571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4952" cy="2163602"/>
                    </a:xfrm>
                    <a:prstGeom prst="rect">
                      <a:avLst/>
                    </a:prstGeom>
                  </pic:spPr>
                </pic:pic>
              </a:graphicData>
            </a:graphic>
          </wp:inline>
        </w:drawing>
      </w:r>
    </w:p>
    <w:p w14:paraId="2705E8AF" w14:textId="77777777" w:rsidR="00CD507F" w:rsidRPr="00CD507F" w:rsidRDefault="00CD507F" w:rsidP="00CD507F"/>
    <w:p w14:paraId="02DA5135" w14:textId="19EABE25" w:rsidR="00C129B1" w:rsidRPr="00C129B1" w:rsidRDefault="00C129B1" w:rsidP="00EA0F66">
      <w:pPr>
        <w:spacing w:line="480" w:lineRule="auto"/>
        <w:ind w:firstLine="720"/>
      </w:pPr>
      <w:r>
        <w:t xml:space="preserve">Figures 3 through 5 </w:t>
      </w:r>
      <w:r w:rsidR="00D6167B">
        <w:t xml:space="preserve">illustrate the distribution of </w:t>
      </w:r>
      <w:r w:rsidR="00241FA7">
        <w:t xml:space="preserve">employee satisfaction ratings taken from </w:t>
      </w:r>
      <w:r w:rsidR="00DB7081">
        <w:t xml:space="preserve">Glassdoor. The distributions are relatively normal, although they are </w:t>
      </w:r>
      <w:r w:rsidR="000655DB">
        <w:t xml:space="preserve">slightly </w:t>
      </w:r>
      <w:r w:rsidR="00DB7081">
        <w:t>left skewed due to</w:t>
      </w:r>
      <w:r w:rsidR="00EF27F1">
        <w:t xml:space="preserve"> a few</w:t>
      </w:r>
      <w:r w:rsidR="00DB7081">
        <w:t xml:space="preserve"> firms with lower </w:t>
      </w:r>
      <w:r w:rsidR="00EF27F1">
        <w:t xml:space="preserve">ratings. </w:t>
      </w:r>
      <w:r w:rsidR="00506514">
        <w:t xml:space="preserve">Pairing these figures with Table 1, </w:t>
      </w:r>
      <w:r w:rsidR="00145498">
        <w:t>o</w:t>
      </w:r>
      <w:r w:rsidR="0093254E">
        <w:t>verall satisfaction is concentrated around 3.5 stars, with the maximum rating being 4.5 stars</w:t>
      </w:r>
      <w:r w:rsidR="00A365C0">
        <w:t xml:space="preserve"> and a standard deviation of 0.60, meaning that </w:t>
      </w:r>
      <w:r w:rsidR="00F72CEC">
        <w:t>most firms are concentrated close to the mean</w:t>
      </w:r>
      <w:r w:rsidR="0093254E">
        <w:t xml:space="preserve">. </w:t>
      </w:r>
      <w:r w:rsidR="00A365C0">
        <w:t xml:space="preserve">Likelihood to recommend to a </w:t>
      </w:r>
      <w:proofErr w:type="gramStart"/>
      <w:r w:rsidR="00A365C0">
        <w:t>friend ratings</w:t>
      </w:r>
      <w:proofErr w:type="gramEnd"/>
      <w:r w:rsidR="00A365C0">
        <w:t xml:space="preserve"> </w:t>
      </w:r>
      <w:r w:rsidR="001604FC">
        <w:t>in Figure 4</w:t>
      </w:r>
      <w:r w:rsidR="000941E1">
        <w:t xml:space="preserve"> </w:t>
      </w:r>
      <w:r w:rsidR="00A365C0">
        <w:t xml:space="preserve">are concentrated around the mean of 65%, </w:t>
      </w:r>
      <w:r w:rsidR="00AA56B8">
        <w:t xml:space="preserve">with a maximum rating of 88% and a standard deviation of 14%. </w:t>
      </w:r>
      <w:r w:rsidR="00FD6B81">
        <w:t xml:space="preserve">After viewing looking at the summary statistics the likelihood to recommend to a friend and overall employee satisfaction ratings, I remove the likelihood to recommend to a friend rating from my regressions due </w:t>
      </w:r>
      <w:r w:rsidR="00DE32EF">
        <w:t xml:space="preserve">the possibility of this </w:t>
      </w:r>
      <w:r w:rsidR="00DE32EF">
        <w:lastRenderedPageBreak/>
        <w:t xml:space="preserve">characteristic representing the same sentiment as overall satisfaction and </w:t>
      </w:r>
      <w:r w:rsidR="00074524">
        <w:t xml:space="preserve">creating a circular argument in my regression analysis. </w:t>
      </w:r>
      <w:r w:rsidR="00157731">
        <w:t xml:space="preserve">Figure 5 illustrates that CEO approval ratings range from 0% to 100%, with the mean approval rating at 80%. </w:t>
      </w:r>
      <w:r w:rsidR="009926BE">
        <w:t xml:space="preserve">As was reported by Glassdoor, these ratings are some of the highest on a sector level. </w:t>
      </w:r>
    </w:p>
    <w:p w14:paraId="67504106" w14:textId="1388D183" w:rsidR="00564581" w:rsidRPr="003C5028" w:rsidRDefault="00564581" w:rsidP="00591230">
      <w:pPr>
        <w:jc w:val="center"/>
        <w:rPr>
          <w:b/>
          <w:bCs/>
        </w:rPr>
      </w:pPr>
      <w:r w:rsidRPr="001D204C">
        <w:rPr>
          <w:b/>
          <w:bCs/>
        </w:rPr>
        <w:t xml:space="preserve">Figure 3: </w:t>
      </w:r>
      <w:r w:rsidR="0045319F" w:rsidRPr="001D204C">
        <w:rPr>
          <w:b/>
          <w:bCs/>
        </w:rPr>
        <w:t>Distribution of Glass</w:t>
      </w:r>
      <w:r w:rsidR="002728A6" w:rsidRPr="001D204C">
        <w:rPr>
          <w:b/>
          <w:bCs/>
        </w:rPr>
        <w:t>d</w:t>
      </w:r>
      <w:r w:rsidR="0045319F" w:rsidRPr="001D204C">
        <w:rPr>
          <w:b/>
          <w:bCs/>
        </w:rPr>
        <w:t xml:space="preserve">oor </w:t>
      </w:r>
      <w:r w:rsidR="004D7CA8" w:rsidRPr="001D204C">
        <w:rPr>
          <w:b/>
          <w:bCs/>
        </w:rPr>
        <w:t xml:space="preserve">Overall </w:t>
      </w:r>
      <w:r w:rsidR="0045319F" w:rsidRPr="001D204C">
        <w:rPr>
          <w:b/>
          <w:bCs/>
        </w:rPr>
        <w:t>Employee Satisfaction Ratings</w:t>
      </w:r>
    </w:p>
    <w:p w14:paraId="6B232F6D" w14:textId="7169D7F7" w:rsidR="00AF5F99" w:rsidRPr="00057491" w:rsidRDefault="00714886" w:rsidP="00057491">
      <w:pPr>
        <w:jc w:val="center"/>
      </w:pPr>
      <w:r w:rsidRPr="001D204C">
        <w:drawing>
          <wp:inline distT="0" distB="0" distL="0" distR="0" wp14:anchorId="0AFDDADF" wp14:editId="62E9418B">
            <wp:extent cx="2870200" cy="20874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3808" cy="2104588"/>
                    </a:xfrm>
                    <a:prstGeom prst="rect">
                      <a:avLst/>
                    </a:prstGeom>
                  </pic:spPr>
                </pic:pic>
              </a:graphicData>
            </a:graphic>
          </wp:inline>
        </w:drawing>
      </w:r>
    </w:p>
    <w:p w14:paraId="0AC920CC" w14:textId="706844C5" w:rsidR="003C5028" w:rsidRPr="001D204C" w:rsidRDefault="004D7CA8" w:rsidP="00591230">
      <w:pPr>
        <w:jc w:val="center"/>
        <w:rPr>
          <w:rFonts w:eastAsiaTheme="minorEastAsia"/>
          <w:b/>
          <w:bCs/>
        </w:rPr>
      </w:pPr>
      <w:r w:rsidRPr="001D204C">
        <w:rPr>
          <w:b/>
          <w:bCs/>
        </w:rPr>
        <w:t>Figure 4: Distribution of Glass</w:t>
      </w:r>
      <w:r w:rsidR="00435104" w:rsidRPr="001D204C">
        <w:rPr>
          <w:b/>
          <w:bCs/>
        </w:rPr>
        <w:t>d</w:t>
      </w:r>
      <w:r w:rsidRPr="001D204C">
        <w:rPr>
          <w:b/>
          <w:bCs/>
        </w:rPr>
        <w:t>oor Recommend to a Friend Ratings</w:t>
      </w:r>
    </w:p>
    <w:p w14:paraId="1D5F7FE2" w14:textId="1E605A03" w:rsidR="00590BF2" w:rsidRPr="00057491" w:rsidRDefault="00714886" w:rsidP="00057491">
      <w:pPr>
        <w:jc w:val="center"/>
      </w:pPr>
      <w:r w:rsidRPr="001D204C">
        <w:drawing>
          <wp:inline distT="0" distB="0" distL="0" distR="0" wp14:anchorId="4271157B" wp14:editId="0BB3054A">
            <wp:extent cx="2881311" cy="20955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2840" cy="2118431"/>
                    </a:xfrm>
                    <a:prstGeom prst="rect">
                      <a:avLst/>
                    </a:prstGeom>
                  </pic:spPr>
                </pic:pic>
              </a:graphicData>
            </a:graphic>
          </wp:inline>
        </w:drawing>
      </w:r>
    </w:p>
    <w:p w14:paraId="3216BA2E" w14:textId="1F12BC16" w:rsidR="003C5028" w:rsidRPr="003C5028" w:rsidRDefault="00AD44F3" w:rsidP="00591230">
      <w:pPr>
        <w:jc w:val="center"/>
        <w:rPr>
          <w:b/>
          <w:bCs/>
        </w:rPr>
      </w:pPr>
      <w:r w:rsidRPr="001D204C">
        <w:rPr>
          <w:b/>
          <w:bCs/>
        </w:rPr>
        <w:t xml:space="preserve">Figure 5: </w:t>
      </w:r>
      <w:r w:rsidR="00840634" w:rsidRPr="001D204C">
        <w:rPr>
          <w:b/>
          <w:bCs/>
        </w:rPr>
        <w:t>Distribution of Glass</w:t>
      </w:r>
      <w:r w:rsidR="000978D2" w:rsidRPr="001D204C">
        <w:rPr>
          <w:b/>
          <w:bCs/>
        </w:rPr>
        <w:t>d</w:t>
      </w:r>
      <w:r w:rsidR="00840634" w:rsidRPr="001D204C">
        <w:rPr>
          <w:b/>
          <w:bCs/>
        </w:rPr>
        <w:t xml:space="preserve">oor </w:t>
      </w:r>
      <w:r w:rsidR="00382A25" w:rsidRPr="001D204C">
        <w:rPr>
          <w:b/>
          <w:bCs/>
        </w:rPr>
        <w:t>CEO Approval Ratings</w:t>
      </w:r>
    </w:p>
    <w:p w14:paraId="0005A7A7" w14:textId="23BD05AE" w:rsidR="00FA278D" w:rsidRPr="009E7AEA" w:rsidRDefault="00714886" w:rsidP="009E7AEA">
      <w:pPr>
        <w:jc w:val="center"/>
        <w:rPr>
          <w:b/>
          <w:bCs/>
        </w:rPr>
      </w:pPr>
      <w:r w:rsidRPr="001D204C">
        <w:rPr>
          <w:b/>
          <w:bCs/>
        </w:rPr>
        <w:drawing>
          <wp:inline distT="0" distB="0" distL="0" distR="0" wp14:anchorId="6109364F" wp14:editId="5AF2BDB4">
            <wp:extent cx="2863851" cy="20828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1056" cy="2109858"/>
                    </a:xfrm>
                    <a:prstGeom prst="rect">
                      <a:avLst/>
                    </a:prstGeom>
                  </pic:spPr>
                </pic:pic>
              </a:graphicData>
            </a:graphic>
          </wp:inline>
        </w:drawing>
      </w:r>
    </w:p>
    <w:p w14:paraId="47EA2117" w14:textId="34628F59" w:rsidR="00AF5F99" w:rsidRPr="00067CDB" w:rsidRDefault="00FA278D" w:rsidP="00067CDB">
      <w:pPr>
        <w:spacing w:line="480" w:lineRule="auto"/>
      </w:pPr>
      <w:r>
        <w:lastRenderedPageBreak/>
        <w:t xml:space="preserve"> </w:t>
      </w:r>
      <w:r w:rsidR="009923E7">
        <w:tab/>
        <w:t xml:space="preserve">Figure 6 illustrates the possible linear relationships between employee satisfaction and ROA and ROE. These relationships are </w:t>
      </w:r>
      <w:r w:rsidR="000C394F">
        <w:t xml:space="preserve">slightly positive, although with outliers we see that the 95% confidence intervals are quite </w:t>
      </w:r>
      <w:r w:rsidR="008E791E">
        <w:t>large,</w:t>
      </w:r>
      <w:r w:rsidR="000C394F">
        <w:t xml:space="preserve"> and </w:t>
      </w:r>
      <w:r w:rsidR="00306DD5">
        <w:t xml:space="preserve">the strength of these relationships cannot be determined from the figure alone. </w:t>
      </w:r>
    </w:p>
    <w:p w14:paraId="513E79CE" w14:textId="4471417D" w:rsidR="00254194" w:rsidRPr="001D204C" w:rsidRDefault="00254194" w:rsidP="00921D75">
      <w:pPr>
        <w:jc w:val="center"/>
        <w:rPr>
          <w:b/>
          <w:bCs/>
        </w:rPr>
      </w:pPr>
      <w:r w:rsidRPr="001D204C">
        <w:rPr>
          <w:b/>
          <w:bCs/>
        </w:rPr>
        <w:t xml:space="preserve">Figure 6: </w:t>
      </w:r>
      <w:r w:rsidR="00C33BF8" w:rsidRPr="001D204C">
        <w:rPr>
          <w:b/>
          <w:bCs/>
        </w:rPr>
        <w:t>Visualizing the Relationship between Employee Satisfaction and</w:t>
      </w:r>
      <w:r w:rsidR="00E11535" w:rsidRPr="001D204C">
        <w:rPr>
          <w:b/>
          <w:bCs/>
        </w:rPr>
        <w:t xml:space="preserve"> Firm Performance</w:t>
      </w:r>
    </w:p>
    <w:p w14:paraId="76F02256" w14:textId="1525C34D" w:rsidR="00254194" w:rsidRPr="001D204C" w:rsidRDefault="009073E1" w:rsidP="00951642">
      <w:r w:rsidRPr="001D204C">
        <w:rPr>
          <w:b/>
          <w:bCs/>
        </w:rPr>
        <w:drawing>
          <wp:inline distT="0" distB="0" distL="0" distR="0" wp14:anchorId="2E2FD5E7" wp14:editId="5FDFF45A">
            <wp:extent cx="2965142" cy="2156467"/>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906" cy="2175204"/>
                    </a:xfrm>
                    <a:prstGeom prst="rect">
                      <a:avLst/>
                    </a:prstGeom>
                  </pic:spPr>
                </pic:pic>
              </a:graphicData>
            </a:graphic>
          </wp:inline>
        </w:drawing>
      </w:r>
      <w:r w:rsidRPr="001D204C">
        <w:drawing>
          <wp:inline distT="0" distB="0" distL="0" distR="0" wp14:anchorId="0A0B6558" wp14:editId="30C391BE">
            <wp:extent cx="2974019" cy="21629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2709" cy="2169243"/>
                    </a:xfrm>
                    <a:prstGeom prst="rect">
                      <a:avLst/>
                    </a:prstGeom>
                  </pic:spPr>
                </pic:pic>
              </a:graphicData>
            </a:graphic>
          </wp:inline>
        </w:drawing>
      </w:r>
    </w:p>
    <w:p w14:paraId="7CF18F97" w14:textId="77777777" w:rsidR="00590BF2" w:rsidRDefault="00590BF2" w:rsidP="009E7AEA">
      <w:pPr>
        <w:rPr>
          <w:b/>
          <w:bCs/>
        </w:rPr>
      </w:pPr>
    </w:p>
    <w:p w14:paraId="05BC6339" w14:textId="5F9C30AC" w:rsidR="0068743D" w:rsidRPr="001D204C" w:rsidRDefault="0068743D" w:rsidP="00505784">
      <w:pPr>
        <w:jc w:val="center"/>
        <w:rPr>
          <w:b/>
          <w:bCs/>
        </w:rPr>
      </w:pPr>
      <w:r w:rsidRPr="001D204C">
        <w:rPr>
          <w:b/>
          <w:bCs/>
        </w:rPr>
        <w:t>Table 1: Summary Statistics</w:t>
      </w:r>
    </w:p>
    <w:tbl>
      <w:tblPr>
        <w:tblW w:w="0" w:type="auto"/>
        <w:jc w:val="center"/>
        <w:tblBorders>
          <w:top w:val="nil"/>
          <w:left w:val="nil"/>
          <w:right w:val="nil"/>
        </w:tblBorders>
        <w:tblLayout w:type="fixed"/>
        <w:tblLook w:val="02A0" w:firstRow="1" w:lastRow="0" w:firstColumn="1" w:lastColumn="0" w:noHBand="1" w:noVBand="0"/>
      </w:tblPr>
      <w:tblGrid>
        <w:gridCol w:w="2538"/>
        <w:gridCol w:w="1260"/>
        <w:gridCol w:w="1260"/>
        <w:gridCol w:w="900"/>
        <w:gridCol w:w="1260"/>
        <w:gridCol w:w="630"/>
      </w:tblGrid>
      <w:tr w:rsidR="00406BB9" w:rsidRPr="001D204C" w14:paraId="48A24AF2" w14:textId="77777777" w:rsidTr="00505784">
        <w:tblPrEx>
          <w:tblCellMar>
            <w:top w:w="0" w:type="dxa"/>
            <w:bottom w:w="0" w:type="dxa"/>
          </w:tblCellMar>
        </w:tblPrEx>
        <w:trPr>
          <w:trHeight w:val="202"/>
          <w:jc w:val="center"/>
        </w:trPr>
        <w:tc>
          <w:tcPr>
            <w:tcW w:w="2538"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27372633" w14:textId="77777777" w:rsidR="0068743D" w:rsidRPr="001D204C" w:rsidRDefault="0068743D" w:rsidP="00505784">
            <w:pPr>
              <w:autoSpaceDE w:val="0"/>
              <w:autoSpaceDN w:val="0"/>
              <w:adjustRightInd w:val="0"/>
              <w:jc w:val="center"/>
              <w:rPr>
                <w:rFonts w:eastAsiaTheme="minorEastAsia"/>
              </w:rPr>
            </w:pPr>
          </w:p>
        </w:tc>
        <w:tc>
          <w:tcPr>
            <w:tcW w:w="126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09C1379D"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Mean</w:t>
            </w:r>
          </w:p>
        </w:tc>
        <w:tc>
          <w:tcPr>
            <w:tcW w:w="126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547F47A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SD</w:t>
            </w:r>
          </w:p>
        </w:tc>
        <w:tc>
          <w:tcPr>
            <w:tcW w:w="90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31EC54F7"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Min</w:t>
            </w:r>
          </w:p>
        </w:tc>
        <w:tc>
          <w:tcPr>
            <w:tcW w:w="126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5284614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Max</w:t>
            </w:r>
          </w:p>
        </w:tc>
        <w:tc>
          <w:tcPr>
            <w:tcW w:w="63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3B94703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N</w:t>
            </w:r>
          </w:p>
        </w:tc>
      </w:tr>
      <w:tr w:rsidR="001D204C" w:rsidRPr="001D204C" w14:paraId="64077723"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521F2A5" w14:textId="6D205E5E" w:rsidR="0068743D" w:rsidRPr="001D204C" w:rsidRDefault="00C3261A" w:rsidP="00505784">
            <w:pPr>
              <w:autoSpaceDE w:val="0"/>
              <w:autoSpaceDN w:val="0"/>
              <w:adjustRightInd w:val="0"/>
              <w:jc w:val="center"/>
              <w:rPr>
                <w:rFonts w:eastAsiaTheme="minorEastAsia"/>
              </w:rPr>
            </w:pPr>
            <w:r w:rsidRPr="001D204C">
              <w:rPr>
                <w:rFonts w:eastAsiaTheme="minorEastAsia"/>
              </w:rPr>
              <w:t>EMPLOYEE SATISFACTION</w:t>
            </w:r>
          </w:p>
        </w:tc>
        <w:tc>
          <w:tcPr>
            <w:tcW w:w="126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266576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3.50</w:t>
            </w:r>
          </w:p>
        </w:tc>
        <w:tc>
          <w:tcPr>
            <w:tcW w:w="126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B34758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0.60</w:t>
            </w:r>
          </w:p>
        </w:tc>
        <w:tc>
          <w:tcPr>
            <w:tcW w:w="90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668E2EE2"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7A988B0"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4.50</w:t>
            </w:r>
          </w:p>
        </w:tc>
        <w:tc>
          <w:tcPr>
            <w:tcW w:w="63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DEDBA0E"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47155809"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726192" w14:textId="37F679E5" w:rsidR="0068743D" w:rsidRPr="001D204C" w:rsidRDefault="009D605C" w:rsidP="00505784">
            <w:pPr>
              <w:autoSpaceDE w:val="0"/>
              <w:autoSpaceDN w:val="0"/>
              <w:adjustRightInd w:val="0"/>
              <w:jc w:val="center"/>
              <w:rPr>
                <w:rFonts w:eastAsiaTheme="minorEastAsia"/>
              </w:rPr>
            </w:pPr>
            <w:r w:rsidRPr="001D204C">
              <w:rPr>
                <w:rFonts w:eastAsiaTheme="minorEastAsia"/>
              </w:rPr>
              <w:t xml:space="preserve">RECOMMEND TO A </w:t>
            </w:r>
            <w:r w:rsidR="0068743D" w:rsidRPr="001D204C">
              <w:rPr>
                <w:rFonts w:eastAsiaTheme="minorEastAsia"/>
              </w:rPr>
              <w:t>FRIEND</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15C812"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0.65</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A956E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0.14</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78634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85F9B4"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0.88</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C956D8"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7088D2EF"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8DF3A9F" w14:textId="227617EB" w:rsidR="0068743D" w:rsidRPr="001D204C" w:rsidRDefault="00184FEA" w:rsidP="00505784">
            <w:pPr>
              <w:autoSpaceDE w:val="0"/>
              <w:autoSpaceDN w:val="0"/>
              <w:adjustRightInd w:val="0"/>
              <w:jc w:val="center"/>
              <w:rPr>
                <w:rFonts w:eastAsiaTheme="minorEastAsia"/>
              </w:rPr>
            </w:pPr>
            <w:r w:rsidRPr="001D204C">
              <w:rPr>
                <w:rFonts w:eastAsiaTheme="minorEastAsia"/>
              </w:rPr>
              <w:t>CEO APPROVAL</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46D8B38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0.80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026C7D71"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0.18</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715166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F08D8F8"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1.00</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178560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5B416B03"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1101D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ROA</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80D8BE"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0.01</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07D4F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0.01</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82607F" w14:textId="3E5DC44E"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BCD4A1"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0.08</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362549"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99</w:t>
            </w:r>
          </w:p>
        </w:tc>
      </w:tr>
      <w:tr w:rsidR="001D204C" w:rsidRPr="001D204C" w14:paraId="41704DB8"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7B337E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ROE</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1750671"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0.04</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184EF6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0.04</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3E0E770" w14:textId="2E40B329"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61B5CF9"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0.39</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2CA9984"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99</w:t>
            </w:r>
          </w:p>
        </w:tc>
      </w:tr>
      <w:tr w:rsidR="001D204C" w:rsidRPr="001D204C" w14:paraId="7A4A0386"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6273D9" w14:textId="577D1385" w:rsidR="0068743D" w:rsidRPr="001D204C" w:rsidRDefault="004B43CF" w:rsidP="00505784">
            <w:pPr>
              <w:autoSpaceDE w:val="0"/>
              <w:autoSpaceDN w:val="0"/>
              <w:adjustRightInd w:val="0"/>
              <w:jc w:val="center"/>
              <w:rPr>
                <w:rFonts w:eastAsiaTheme="minorEastAsia"/>
              </w:rPr>
            </w:pPr>
            <w:r w:rsidRPr="001D204C">
              <w:rPr>
                <w:rFonts w:eastAsiaTheme="minorEastAsia"/>
              </w:rPr>
              <w:t xml:space="preserve">CEO </w:t>
            </w:r>
            <w:r w:rsidR="0068743D" w:rsidRPr="001D204C">
              <w:rPr>
                <w:rFonts w:eastAsiaTheme="minorEastAsia"/>
              </w:rPr>
              <w:t>PROFESSIONAL</w:t>
            </w:r>
            <w:r w:rsidRPr="001D204C">
              <w:rPr>
                <w:rFonts w:eastAsiaTheme="minorEastAsia"/>
              </w:rPr>
              <w:t xml:space="preserve"> </w:t>
            </w:r>
            <w:r w:rsidR="0068743D" w:rsidRPr="001D204C">
              <w:rPr>
                <w:rFonts w:eastAsiaTheme="minorEastAsia"/>
              </w:rPr>
              <w:t>SALARY</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0303CE" w14:textId="6E39E8D7" w:rsidR="0068743D" w:rsidRPr="001D204C" w:rsidRDefault="0068743D" w:rsidP="00505784">
            <w:pPr>
              <w:autoSpaceDE w:val="0"/>
              <w:autoSpaceDN w:val="0"/>
              <w:adjustRightInd w:val="0"/>
              <w:jc w:val="center"/>
              <w:rPr>
                <w:rFonts w:eastAsiaTheme="minorEastAsia"/>
              </w:rPr>
            </w:pPr>
            <w:r w:rsidRPr="001D204C">
              <w:rPr>
                <w:rFonts w:eastAsiaTheme="minorEastAsia"/>
              </w:rPr>
              <w:t>467</w:t>
            </w:r>
            <w:r w:rsidR="00406BB9" w:rsidRPr="001D204C">
              <w:rPr>
                <w:rFonts w:eastAsiaTheme="minorEastAsia"/>
              </w:rPr>
              <w:t>,</w:t>
            </w:r>
            <w:r w:rsidRPr="001D204C">
              <w:rPr>
                <w:rFonts w:eastAsiaTheme="minorEastAsia"/>
              </w:rPr>
              <w:t>112.1</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B5C39C" w14:textId="2CCBFA66" w:rsidR="0068743D" w:rsidRPr="001D204C" w:rsidRDefault="0068743D" w:rsidP="00505784">
            <w:pPr>
              <w:autoSpaceDE w:val="0"/>
              <w:autoSpaceDN w:val="0"/>
              <w:adjustRightInd w:val="0"/>
              <w:jc w:val="center"/>
              <w:rPr>
                <w:rFonts w:eastAsiaTheme="minorEastAsia"/>
              </w:rPr>
            </w:pPr>
            <w:r w:rsidRPr="001D204C">
              <w:rPr>
                <w:rFonts w:eastAsiaTheme="minorEastAsia"/>
              </w:rPr>
              <w:t>569</w:t>
            </w:r>
            <w:r w:rsidR="00406BB9" w:rsidRPr="001D204C">
              <w:rPr>
                <w:rFonts w:eastAsiaTheme="minorEastAsia"/>
              </w:rPr>
              <w:t>,</w:t>
            </w:r>
            <w:r w:rsidRPr="001D204C">
              <w:rPr>
                <w:rFonts w:eastAsiaTheme="minorEastAsia"/>
              </w:rPr>
              <w:t>783.5</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1E2657"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B1BC4F" w14:textId="749DD3A5" w:rsidR="0068743D" w:rsidRPr="001D204C" w:rsidRDefault="00406BB9" w:rsidP="00505784">
            <w:pPr>
              <w:autoSpaceDE w:val="0"/>
              <w:autoSpaceDN w:val="0"/>
              <w:adjustRightInd w:val="0"/>
              <w:jc w:val="center"/>
              <w:rPr>
                <w:rFonts w:eastAsiaTheme="minorEastAsia"/>
              </w:rPr>
            </w:pPr>
            <w:r w:rsidRPr="001D204C">
              <w:rPr>
                <w:rFonts w:eastAsiaTheme="minorEastAsia"/>
              </w:rPr>
              <w:t>2e+06</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920156"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2E88BD42"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0476303B" w14:textId="213978B0" w:rsidR="0068743D" w:rsidRPr="001D204C" w:rsidRDefault="00BA68FB" w:rsidP="00505784">
            <w:pPr>
              <w:autoSpaceDE w:val="0"/>
              <w:autoSpaceDN w:val="0"/>
              <w:adjustRightInd w:val="0"/>
              <w:jc w:val="center"/>
              <w:rPr>
                <w:rFonts w:eastAsiaTheme="minorEastAsia"/>
              </w:rPr>
            </w:pPr>
            <w:r w:rsidRPr="001D204C">
              <w:rPr>
                <w:rFonts w:eastAsiaTheme="minorEastAsia"/>
              </w:rPr>
              <w:t xml:space="preserve">CEO </w:t>
            </w:r>
            <w:r w:rsidR="004B43CF" w:rsidRPr="001D204C">
              <w:rPr>
                <w:rFonts w:eastAsiaTheme="minorEastAsia"/>
              </w:rPr>
              <w:t xml:space="preserve">CALCULATED </w:t>
            </w:r>
            <w:r w:rsidR="0068743D" w:rsidRPr="001D204C">
              <w:rPr>
                <w:rFonts w:eastAsiaTheme="minorEastAsia"/>
              </w:rPr>
              <w:t>COMP</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45250759" w14:textId="20EF5EE3" w:rsidR="0068743D" w:rsidRPr="001D204C" w:rsidRDefault="0068743D" w:rsidP="00505784">
            <w:pPr>
              <w:autoSpaceDE w:val="0"/>
              <w:autoSpaceDN w:val="0"/>
              <w:adjustRightInd w:val="0"/>
              <w:jc w:val="center"/>
              <w:rPr>
                <w:rFonts w:eastAsiaTheme="minorEastAsia"/>
              </w:rPr>
            </w:pPr>
            <w:r w:rsidRPr="001D204C">
              <w:rPr>
                <w:rFonts w:eastAsiaTheme="minorEastAsia"/>
              </w:rPr>
              <w:t>6</w:t>
            </w:r>
            <w:r w:rsidR="00406BB9" w:rsidRPr="001D204C">
              <w:rPr>
                <w:rFonts w:eastAsiaTheme="minorEastAsia"/>
              </w:rPr>
              <w:t>,</w:t>
            </w:r>
            <w:r w:rsidRPr="001D204C">
              <w:rPr>
                <w:rFonts w:eastAsiaTheme="minorEastAsia"/>
              </w:rPr>
              <w:t>147</w:t>
            </w:r>
            <w:r w:rsidR="00406BB9" w:rsidRPr="001D204C">
              <w:rPr>
                <w:rFonts w:eastAsiaTheme="minorEastAsia"/>
              </w:rPr>
              <w:t>,</w:t>
            </w:r>
            <w:r w:rsidRPr="001D204C">
              <w:rPr>
                <w:rFonts w:eastAsiaTheme="minorEastAsia"/>
              </w:rPr>
              <w:t>013</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897B8D9" w14:textId="6AEAA9D6" w:rsidR="0068743D" w:rsidRPr="001D204C" w:rsidRDefault="0068743D" w:rsidP="00505784">
            <w:pPr>
              <w:autoSpaceDE w:val="0"/>
              <w:autoSpaceDN w:val="0"/>
              <w:adjustRightInd w:val="0"/>
              <w:jc w:val="center"/>
              <w:rPr>
                <w:rFonts w:eastAsiaTheme="minorEastAsia"/>
              </w:rPr>
            </w:pPr>
            <w:r w:rsidRPr="001D204C">
              <w:rPr>
                <w:rFonts w:eastAsiaTheme="minorEastAsia"/>
              </w:rPr>
              <w:t>8</w:t>
            </w:r>
            <w:r w:rsidR="00406BB9" w:rsidRPr="001D204C">
              <w:rPr>
                <w:rFonts w:eastAsiaTheme="minorEastAsia"/>
              </w:rPr>
              <w:t>,</w:t>
            </w:r>
            <w:r w:rsidRPr="001D204C">
              <w:rPr>
                <w:rFonts w:eastAsiaTheme="minorEastAsia"/>
              </w:rPr>
              <w:t>522</w:t>
            </w:r>
            <w:r w:rsidR="00406BB9" w:rsidRPr="001D204C">
              <w:rPr>
                <w:rFonts w:eastAsiaTheme="minorEastAsia"/>
              </w:rPr>
              <w:t>,</w:t>
            </w:r>
            <w:r w:rsidRPr="001D204C">
              <w:rPr>
                <w:rFonts w:eastAsiaTheme="minorEastAsia"/>
              </w:rPr>
              <w:t>393</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2F9B3CA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1732BCF"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3.6e+07</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6A648D2C"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2D6D78CD"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D15282" w14:textId="300FD595" w:rsidR="0068743D" w:rsidRPr="001D204C" w:rsidRDefault="00403E51" w:rsidP="00505784">
            <w:pPr>
              <w:autoSpaceDE w:val="0"/>
              <w:autoSpaceDN w:val="0"/>
              <w:adjustRightInd w:val="0"/>
              <w:jc w:val="center"/>
              <w:rPr>
                <w:rFonts w:eastAsiaTheme="minorEastAsia"/>
              </w:rPr>
            </w:pPr>
            <w:r w:rsidRPr="001D204C">
              <w:rPr>
                <w:rFonts w:eastAsiaTheme="minorEastAsia"/>
              </w:rPr>
              <w:t>CEO</w:t>
            </w:r>
            <w:r w:rsidR="00BA68FB" w:rsidRPr="001D204C">
              <w:rPr>
                <w:rFonts w:eastAsiaTheme="minorEastAsia"/>
              </w:rPr>
              <w:t xml:space="preserve"> </w:t>
            </w:r>
            <w:r w:rsidR="0068743D" w:rsidRPr="001D204C">
              <w:rPr>
                <w:rFonts w:eastAsiaTheme="minorEastAsia"/>
              </w:rPr>
              <w:t>RESTRICTED</w:t>
            </w:r>
            <w:r w:rsidRPr="001D204C">
              <w:rPr>
                <w:rFonts w:eastAsiaTheme="minorEastAsia"/>
              </w:rPr>
              <w:t xml:space="preserve"> </w:t>
            </w:r>
            <w:r w:rsidR="0068743D" w:rsidRPr="001D204C">
              <w:rPr>
                <w:rFonts w:eastAsiaTheme="minorEastAsia"/>
              </w:rPr>
              <w:t>STOCK</w:t>
            </w:r>
            <w:r w:rsidRPr="001D204C">
              <w:rPr>
                <w:rFonts w:eastAsiaTheme="minorEastAsia"/>
              </w:rPr>
              <w:t xml:space="preserve"> </w:t>
            </w:r>
            <w:r w:rsidR="0068743D" w:rsidRPr="001D204C">
              <w:rPr>
                <w:rFonts w:eastAsiaTheme="minorEastAsia"/>
              </w:rPr>
              <w:t>COMP</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5734A5" w14:textId="21B86C11" w:rsidR="0068743D" w:rsidRPr="001D204C" w:rsidRDefault="0068743D" w:rsidP="00505784">
            <w:pPr>
              <w:autoSpaceDE w:val="0"/>
              <w:autoSpaceDN w:val="0"/>
              <w:adjustRightInd w:val="0"/>
              <w:jc w:val="center"/>
              <w:rPr>
                <w:rFonts w:eastAsiaTheme="minorEastAsia"/>
              </w:rPr>
            </w:pPr>
            <w:r w:rsidRPr="001D204C">
              <w:rPr>
                <w:rFonts w:eastAsiaTheme="minorEastAsia"/>
              </w:rPr>
              <w:t>3</w:t>
            </w:r>
            <w:r w:rsidR="00406BB9" w:rsidRPr="001D204C">
              <w:rPr>
                <w:rFonts w:eastAsiaTheme="minorEastAsia"/>
              </w:rPr>
              <w:t>,</w:t>
            </w:r>
            <w:r w:rsidRPr="001D204C">
              <w:rPr>
                <w:rFonts w:eastAsiaTheme="minorEastAsia"/>
              </w:rPr>
              <w:t>583</w:t>
            </w:r>
            <w:r w:rsidR="00406BB9" w:rsidRPr="001D204C">
              <w:rPr>
                <w:rFonts w:eastAsiaTheme="minorEastAsia"/>
              </w:rPr>
              <w:t>,</w:t>
            </w:r>
            <w:r w:rsidRPr="001D204C">
              <w:rPr>
                <w:rFonts w:eastAsiaTheme="minorEastAsia"/>
              </w:rPr>
              <w:t>010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8B7B9A" w14:textId="6FFDB78E" w:rsidR="0068743D" w:rsidRPr="001D204C" w:rsidRDefault="0068743D" w:rsidP="00505784">
            <w:pPr>
              <w:autoSpaceDE w:val="0"/>
              <w:autoSpaceDN w:val="0"/>
              <w:adjustRightInd w:val="0"/>
              <w:jc w:val="center"/>
              <w:rPr>
                <w:rFonts w:eastAsiaTheme="minorEastAsia"/>
              </w:rPr>
            </w:pPr>
            <w:r w:rsidRPr="001D204C">
              <w:rPr>
                <w:rFonts w:eastAsiaTheme="minorEastAsia"/>
              </w:rPr>
              <w:t>5</w:t>
            </w:r>
            <w:r w:rsidR="00406BB9" w:rsidRPr="001D204C">
              <w:rPr>
                <w:rFonts w:eastAsiaTheme="minorEastAsia"/>
              </w:rPr>
              <w:t>,</w:t>
            </w:r>
            <w:r w:rsidRPr="001D204C">
              <w:rPr>
                <w:rFonts w:eastAsiaTheme="minorEastAsia"/>
              </w:rPr>
              <w:t>813</w:t>
            </w:r>
            <w:r w:rsidR="00406BB9" w:rsidRPr="001D204C">
              <w:rPr>
                <w:rFonts w:eastAsiaTheme="minorEastAsia"/>
              </w:rPr>
              <w:t>,</w:t>
            </w:r>
            <w:r w:rsidRPr="001D204C">
              <w:rPr>
                <w:rFonts w:eastAsiaTheme="minorEastAsia"/>
              </w:rPr>
              <w:t>235</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119EBD"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03595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2.9e+07</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86CCD8"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51FD88B6"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BC00D8A" w14:textId="4E603334" w:rsidR="0068743D" w:rsidRPr="001D204C" w:rsidRDefault="00F1642F" w:rsidP="00505784">
            <w:pPr>
              <w:autoSpaceDE w:val="0"/>
              <w:autoSpaceDN w:val="0"/>
              <w:adjustRightInd w:val="0"/>
              <w:jc w:val="center"/>
              <w:rPr>
                <w:rFonts w:eastAsiaTheme="minorEastAsia"/>
              </w:rPr>
            </w:pPr>
            <w:r w:rsidRPr="001D204C">
              <w:rPr>
                <w:rFonts w:eastAsiaTheme="minorEastAsia"/>
              </w:rPr>
              <w:t xml:space="preserve">CEO </w:t>
            </w:r>
            <w:r w:rsidR="0068743D" w:rsidRPr="001D204C">
              <w:rPr>
                <w:rFonts w:eastAsiaTheme="minorEastAsia"/>
              </w:rPr>
              <w:t>OPTION</w:t>
            </w:r>
            <w:r w:rsidRPr="001D204C">
              <w:rPr>
                <w:rFonts w:eastAsiaTheme="minorEastAsia"/>
              </w:rPr>
              <w:t xml:space="preserve"> </w:t>
            </w:r>
            <w:r w:rsidR="0068743D" w:rsidRPr="001D204C">
              <w:rPr>
                <w:rFonts w:eastAsiaTheme="minorEastAsia"/>
              </w:rPr>
              <w:t>AWARDS</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1D44265" w14:textId="3B169DD2" w:rsidR="0068743D" w:rsidRPr="001D204C" w:rsidRDefault="0068743D" w:rsidP="00505784">
            <w:pPr>
              <w:autoSpaceDE w:val="0"/>
              <w:autoSpaceDN w:val="0"/>
              <w:adjustRightInd w:val="0"/>
              <w:jc w:val="center"/>
              <w:rPr>
                <w:rFonts w:eastAsiaTheme="minorEastAsia"/>
              </w:rPr>
            </w:pPr>
            <w:r w:rsidRPr="001D204C">
              <w:rPr>
                <w:rFonts w:eastAsiaTheme="minorEastAsia"/>
              </w:rPr>
              <w:t>282</w:t>
            </w:r>
            <w:r w:rsidR="00406BB9" w:rsidRPr="001D204C">
              <w:rPr>
                <w:rFonts w:eastAsiaTheme="minorEastAsia"/>
              </w:rPr>
              <w:t>,</w:t>
            </w:r>
            <w:r w:rsidRPr="001D204C">
              <w:rPr>
                <w:rFonts w:eastAsiaTheme="minorEastAsia"/>
              </w:rPr>
              <w:t>905.3</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703FFAB" w14:textId="7377C6E8" w:rsidR="0068743D" w:rsidRPr="001D204C" w:rsidRDefault="0068743D" w:rsidP="00505784">
            <w:pPr>
              <w:autoSpaceDE w:val="0"/>
              <w:autoSpaceDN w:val="0"/>
              <w:adjustRightInd w:val="0"/>
              <w:jc w:val="center"/>
              <w:rPr>
                <w:rFonts w:eastAsiaTheme="minorEastAsia"/>
              </w:rPr>
            </w:pPr>
            <w:r w:rsidRPr="001D204C">
              <w:rPr>
                <w:rFonts w:eastAsiaTheme="minorEastAsia"/>
              </w:rPr>
              <w:t>803</w:t>
            </w:r>
            <w:r w:rsidR="00406BB9" w:rsidRPr="001D204C">
              <w:rPr>
                <w:rFonts w:eastAsiaTheme="minorEastAsia"/>
              </w:rPr>
              <w:t>,</w:t>
            </w:r>
            <w:r w:rsidRPr="001D204C">
              <w:rPr>
                <w:rFonts w:eastAsiaTheme="minorEastAsia"/>
              </w:rPr>
              <w:t>877.9</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6F74415F"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9FCDC43" w14:textId="44CBA97F" w:rsidR="0068743D" w:rsidRPr="001D204C" w:rsidRDefault="00974CC8" w:rsidP="00505784">
            <w:pPr>
              <w:autoSpaceDE w:val="0"/>
              <w:autoSpaceDN w:val="0"/>
              <w:adjustRightInd w:val="0"/>
              <w:jc w:val="center"/>
              <w:rPr>
                <w:rFonts w:eastAsiaTheme="minorEastAsia"/>
              </w:rPr>
            </w:pPr>
            <w:r w:rsidRPr="001D204C">
              <w:rPr>
                <w:rFonts w:eastAsiaTheme="minorEastAsia"/>
              </w:rPr>
              <w:t>4</w:t>
            </w:r>
            <w:r w:rsidR="007F163E" w:rsidRPr="001D204C">
              <w:rPr>
                <w:rFonts w:eastAsiaTheme="minorEastAsia"/>
              </w:rPr>
              <w:t>,</w:t>
            </w:r>
            <w:r w:rsidRPr="001D204C">
              <w:rPr>
                <w:rFonts w:eastAsiaTheme="minorEastAsia"/>
              </w:rPr>
              <w:t>312</w:t>
            </w:r>
            <w:r w:rsidR="007F163E" w:rsidRPr="001D204C">
              <w:rPr>
                <w:rFonts w:eastAsiaTheme="minorEastAsia"/>
              </w:rPr>
              <w:t>,</w:t>
            </w:r>
            <w:r w:rsidRPr="001D204C">
              <w:rPr>
                <w:rFonts w:eastAsiaTheme="minorEastAsia"/>
              </w:rPr>
              <w:t>489</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49ACED4"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422940" w:rsidRPr="001D204C" w14:paraId="7019F2F4" w14:textId="77777777" w:rsidTr="00422940">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auto"/>
            <w:tcMar>
              <w:top w:w="100" w:type="nil"/>
              <w:right w:w="100" w:type="nil"/>
            </w:tcMar>
            <w:vAlign w:val="center"/>
          </w:tcPr>
          <w:p w14:paraId="067284F7" w14:textId="3FC4F455" w:rsidR="00422940" w:rsidRPr="001D204C" w:rsidRDefault="00422940" w:rsidP="00505784">
            <w:pPr>
              <w:autoSpaceDE w:val="0"/>
              <w:autoSpaceDN w:val="0"/>
              <w:adjustRightInd w:val="0"/>
              <w:jc w:val="center"/>
              <w:rPr>
                <w:rFonts w:eastAsiaTheme="minorEastAsia"/>
              </w:rPr>
            </w:pPr>
            <w:r w:rsidRPr="001D204C">
              <w:rPr>
                <w:rFonts w:eastAsiaTheme="minorEastAsia"/>
              </w:rPr>
              <w:t>DEBT</w:t>
            </w:r>
            <w:r w:rsidRPr="001D204C">
              <w:rPr>
                <w:rFonts w:eastAsiaTheme="minorEastAsia"/>
              </w:rPr>
              <w:t>-</w:t>
            </w:r>
            <w:r w:rsidRPr="001D204C">
              <w:rPr>
                <w:rFonts w:eastAsiaTheme="minorEastAsia"/>
              </w:rPr>
              <w:t>EQUITY RATIO</w:t>
            </w:r>
          </w:p>
        </w:tc>
        <w:tc>
          <w:tcPr>
            <w:tcW w:w="1260" w:type="dxa"/>
            <w:tcBorders>
              <w:top w:val="single" w:sz="8" w:space="0" w:color="BFBFBF"/>
              <w:left w:val="single" w:sz="8" w:space="0" w:color="BFBFBF"/>
              <w:bottom w:val="single" w:sz="8" w:space="0" w:color="BFBFBF"/>
              <w:right w:val="single" w:sz="8" w:space="0" w:color="BFBFBF"/>
            </w:tcBorders>
            <w:shd w:val="clear" w:color="auto" w:fill="auto"/>
            <w:tcMar>
              <w:top w:w="100" w:type="nil"/>
              <w:right w:w="100" w:type="nil"/>
            </w:tcMar>
            <w:vAlign w:val="center"/>
          </w:tcPr>
          <w:p w14:paraId="726398D9" w14:textId="44D5DE25" w:rsidR="00422940" w:rsidRPr="001D204C" w:rsidRDefault="00422940" w:rsidP="00505784">
            <w:pPr>
              <w:autoSpaceDE w:val="0"/>
              <w:autoSpaceDN w:val="0"/>
              <w:adjustRightInd w:val="0"/>
              <w:jc w:val="center"/>
              <w:rPr>
                <w:rFonts w:eastAsiaTheme="minorEastAsia"/>
              </w:rPr>
            </w:pPr>
            <w:r w:rsidRPr="001D204C">
              <w:rPr>
                <w:rFonts w:eastAsiaTheme="minorEastAsia"/>
              </w:rPr>
              <w:t>1.14</w:t>
            </w:r>
          </w:p>
        </w:tc>
        <w:tc>
          <w:tcPr>
            <w:tcW w:w="1260" w:type="dxa"/>
            <w:tcBorders>
              <w:top w:val="single" w:sz="8" w:space="0" w:color="BFBFBF"/>
              <w:left w:val="single" w:sz="8" w:space="0" w:color="BFBFBF"/>
              <w:bottom w:val="single" w:sz="8" w:space="0" w:color="BFBFBF"/>
              <w:right w:val="single" w:sz="8" w:space="0" w:color="BFBFBF"/>
            </w:tcBorders>
            <w:shd w:val="clear" w:color="auto" w:fill="auto"/>
            <w:tcMar>
              <w:top w:w="100" w:type="nil"/>
              <w:right w:w="100" w:type="nil"/>
            </w:tcMar>
            <w:vAlign w:val="center"/>
          </w:tcPr>
          <w:p w14:paraId="71EBA19C" w14:textId="4075BC3C" w:rsidR="00422940" w:rsidRPr="001D204C" w:rsidRDefault="00422940" w:rsidP="00505784">
            <w:pPr>
              <w:autoSpaceDE w:val="0"/>
              <w:autoSpaceDN w:val="0"/>
              <w:adjustRightInd w:val="0"/>
              <w:jc w:val="center"/>
              <w:rPr>
                <w:rFonts w:eastAsiaTheme="minorEastAsia"/>
              </w:rPr>
            </w:pPr>
            <w:r w:rsidRPr="001D204C">
              <w:rPr>
                <w:rFonts w:eastAsiaTheme="minorEastAsia"/>
              </w:rPr>
              <w:t>1.34</w:t>
            </w:r>
          </w:p>
        </w:tc>
        <w:tc>
          <w:tcPr>
            <w:tcW w:w="900" w:type="dxa"/>
            <w:tcBorders>
              <w:top w:val="single" w:sz="8" w:space="0" w:color="BFBFBF"/>
              <w:left w:val="single" w:sz="8" w:space="0" w:color="BFBFBF"/>
              <w:bottom w:val="single" w:sz="8" w:space="0" w:color="BFBFBF"/>
              <w:right w:val="single" w:sz="8" w:space="0" w:color="BFBFBF"/>
            </w:tcBorders>
            <w:shd w:val="clear" w:color="auto" w:fill="auto"/>
            <w:tcMar>
              <w:top w:w="100" w:type="nil"/>
              <w:right w:w="100" w:type="nil"/>
            </w:tcMar>
            <w:vAlign w:val="center"/>
          </w:tcPr>
          <w:p w14:paraId="77A3C359" w14:textId="7B27024C" w:rsidR="00422940" w:rsidRPr="001D204C" w:rsidRDefault="00422940" w:rsidP="00505784">
            <w:pPr>
              <w:autoSpaceDE w:val="0"/>
              <w:autoSpaceDN w:val="0"/>
              <w:adjustRightInd w:val="0"/>
              <w:jc w:val="center"/>
              <w:rPr>
                <w:rFonts w:eastAsiaTheme="minorEastAsia"/>
              </w:rPr>
            </w:pPr>
            <w:r w:rsidRPr="001D204C">
              <w:rPr>
                <w:rFonts w:eastAsiaTheme="minorEastAsia"/>
              </w:rPr>
              <w:t>0.02</w:t>
            </w:r>
          </w:p>
        </w:tc>
        <w:tc>
          <w:tcPr>
            <w:tcW w:w="1260" w:type="dxa"/>
            <w:tcBorders>
              <w:top w:val="single" w:sz="8" w:space="0" w:color="BFBFBF"/>
              <w:left w:val="single" w:sz="8" w:space="0" w:color="BFBFBF"/>
              <w:bottom w:val="single" w:sz="8" w:space="0" w:color="BFBFBF"/>
              <w:right w:val="single" w:sz="8" w:space="0" w:color="BFBFBF"/>
            </w:tcBorders>
            <w:shd w:val="clear" w:color="auto" w:fill="auto"/>
            <w:tcMar>
              <w:top w:w="100" w:type="nil"/>
              <w:right w:w="100" w:type="nil"/>
            </w:tcMar>
            <w:vAlign w:val="center"/>
          </w:tcPr>
          <w:p w14:paraId="608A19E7" w14:textId="0F94F223" w:rsidR="00422940" w:rsidRPr="001D204C" w:rsidRDefault="00422940" w:rsidP="00505784">
            <w:pPr>
              <w:autoSpaceDE w:val="0"/>
              <w:autoSpaceDN w:val="0"/>
              <w:adjustRightInd w:val="0"/>
              <w:jc w:val="center"/>
              <w:rPr>
                <w:rFonts w:eastAsiaTheme="minorEastAsia"/>
              </w:rPr>
            </w:pPr>
            <w:r w:rsidRPr="001D204C">
              <w:rPr>
                <w:rFonts w:eastAsiaTheme="minorEastAsia"/>
              </w:rPr>
              <w:t>8.48</w:t>
            </w:r>
          </w:p>
        </w:tc>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nil"/>
              <w:right w:w="100" w:type="nil"/>
            </w:tcMar>
            <w:vAlign w:val="center"/>
          </w:tcPr>
          <w:p w14:paraId="2D109467" w14:textId="5D7F9A2F" w:rsidR="00422940" w:rsidRPr="001D204C" w:rsidRDefault="00422940" w:rsidP="00505784">
            <w:pPr>
              <w:autoSpaceDE w:val="0"/>
              <w:autoSpaceDN w:val="0"/>
              <w:adjustRightInd w:val="0"/>
              <w:jc w:val="center"/>
              <w:rPr>
                <w:rFonts w:eastAsiaTheme="minorEastAsia"/>
              </w:rPr>
            </w:pPr>
            <w:r w:rsidRPr="001D204C">
              <w:rPr>
                <w:rFonts w:eastAsiaTheme="minorEastAsia"/>
              </w:rPr>
              <w:t>102</w:t>
            </w:r>
          </w:p>
        </w:tc>
      </w:tr>
      <w:tr w:rsidR="00422940" w:rsidRPr="001D204C" w14:paraId="2712CCB8" w14:textId="77777777" w:rsidTr="00422940">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4" w:space="0" w:color="BFBFBF"/>
              <w:right w:val="single" w:sz="8" w:space="0" w:color="BFBFBF"/>
            </w:tcBorders>
            <w:shd w:val="clear" w:color="auto" w:fill="F2F2F2" w:themeFill="background1" w:themeFillShade="F2"/>
            <w:tcMar>
              <w:top w:w="100" w:type="nil"/>
              <w:right w:w="100" w:type="nil"/>
            </w:tcMar>
            <w:vAlign w:val="center"/>
          </w:tcPr>
          <w:p w14:paraId="2E8A7C0B" w14:textId="4031A15D" w:rsidR="00422940" w:rsidRPr="001D204C" w:rsidRDefault="00422940" w:rsidP="00505784">
            <w:pPr>
              <w:autoSpaceDE w:val="0"/>
              <w:autoSpaceDN w:val="0"/>
              <w:adjustRightInd w:val="0"/>
              <w:jc w:val="center"/>
              <w:rPr>
                <w:rFonts w:eastAsiaTheme="minorEastAsia"/>
              </w:rPr>
            </w:pPr>
            <w:r w:rsidRPr="001D204C">
              <w:rPr>
                <w:rFonts w:eastAsiaTheme="minorEastAsia"/>
              </w:rPr>
              <w:t>EPS</w:t>
            </w:r>
          </w:p>
        </w:tc>
        <w:tc>
          <w:tcPr>
            <w:tcW w:w="1260" w:type="dxa"/>
            <w:tcBorders>
              <w:top w:val="single" w:sz="8" w:space="0" w:color="BFBFBF"/>
              <w:left w:val="single" w:sz="8" w:space="0" w:color="BFBFBF"/>
              <w:bottom w:val="single" w:sz="4" w:space="0" w:color="BFBFBF"/>
              <w:right w:val="single" w:sz="8" w:space="0" w:color="BFBFBF"/>
            </w:tcBorders>
            <w:shd w:val="clear" w:color="auto" w:fill="F2F2F2" w:themeFill="background1" w:themeFillShade="F2"/>
            <w:tcMar>
              <w:top w:w="100" w:type="nil"/>
              <w:right w:w="100" w:type="nil"/>
            </w:tcMar>
            <w:vAlign w:val="center"/>
          </w:tcPr>
          <w:p w14:paraId="11C58026" w14:textId="16C9A277" w:rsidR="00422940" w:rsidRPr="001D204C" w:rsidRDefault="00422940" w:rsidP="00505784">
            <w:pPr>
              <w:autoSpaceDE w:val="0"/>
              <w:autoSpaceDN w:val="0"/>
              <w:adjustRightInd w:val="0"/>
              <w:jc w:val="center"/>
              <w:rPr>
                <w:rFonts w:eastAsiaTheme="minorEastAsia"/>
              </w:rPr>
            </w:pPr>
            <w:r w:rsidRPr="001D204C">
              <w:rPr>
                <w:rFonts w:eastAsiaTheme="minorEastAsia"/>
              </w:rPr>
              <w:t>1.62</w:t>
            </w:r>
          </w:p>
        </w:tc>
        <w:tc>
          <w:tcPr>
            <w:tcW w:w="1260" w:type="dxa"/>
            <w:tcBorders>
              <w:top w:val="single" w:sz="8" w:space="0" w:color="BFBFBF"/>
              <w:left w:val="single" w:sz="8" w:space="0" w:color="BFBFBF"/>
              <w:bottom w:val="single" w:sz="4" w:space="0" w:color="BFBFBF"/>
              <w:right w:val="single" w:sz="8" w:space="0" w:color="BFBFBF"/>
            </w:tcBorders>
            <w:shd w:val="clear" w:color="auto" w:fill="F2F2F2" w:themeFill="background1" w:themeFillShade="F2"/>
            <w:tcMar>
              <w:top w:w="100" w:type="nil"/>
              <w:right w:w="100" w:type="nil"/>
            </w:tcMar>
            <w:vAlign w:val="center"/>
          </w:tcPr>
          <w:p w14:paraId="60D1F696" w14:textId="1D6A9F24" w:rsidR="00422940" w:rsidRPr="001D204C" w:rsidRDefault="00422940" w:rsidP="00505784">
            <w:pPr>
              <w:autoSpaceDE w:val="0"/>
              <w:autoSpaceDN w:val="0"/>
              <w:adjustRightInd w:val="0"/>
              <w:jc w:val="center"/>
              <w:rPr>
                <w:rFonts w:eastAsiaTheme="minorEastAsia"/>
              </w:rPr>
            </w:pPr>
            <w:r w:rsidRPr="001D204C">
              <w:rPr>
                <w:rFonts w:eastAsiaTheme="minorEastAsia"/>
              </w:rPr>
              <w:t>1.43</w:t>
            </w:r>
          </w:p>
        </w:tc>
        <w:tc>
          <w:tcPr>
            <w:tcW w:w="900" w:type="dxa"/>
            <w:tcBorders>
              <w:top w:val="single" w:sz="8" w:space="0" w:color="BFBFBF"/>
              <w:left w:val="single" w:sz="8" w:space="0" w:color="BFBFBF"/>
              <w:bottom w:val="single" w:sz="4" w:space="0" w:color="BFBFBF"/>
              <w:right w:val="single" w:sz="8" w:space="0" w:color="BFBFBF"/>
            </w:tcBorders>
            <w:shd w:val="clear" w:color="auto" w:fill="F2F2F2" w:themeFill="background1" w:themeFillShade="F2"/>
            <w:tcMar>
              <w:top w:w="100" w:type="nil"/>
              <w:right w:w="100" w:type="nil"/>
            </w:tcMar>
            <w:vAlign w:val="center"/>
          </w:tcPr>
          <w:p w14:paraId="71EDCEF3" w14:textId="15DF5467" w:rsidR="00422940" w:rsidRPr="001D204C" w:rsidRDefault="00422940" w:rsidP="00505784">
            <w:pPr>
              <w:autoSpaceDE w:val="0"/>
              <w:autoSpaceDN w:val="0"/>
              <w:adjustRightInd w:val="0"/>
              <w:jc w:val="center"/>
              <w:rPr>
                <w:rFonts w:eastAsiaTheme="minorEastAsia"/>
              </w:rPr>
            </w:pPr>
            <w:r w:rsidRPr="001D204C">
              <w:rPr>
                <w:rFonts w:eastAsiaTheme="minorEastAsia"/>
              </w:rPr>
              <w:t>-0.14</w:t>
            </w:r>
          </w:p>
        </w:tc>
        <w:tc>
          <w:tcPr>
            <w:tcW w:w="1260" w:type="dxa"/>
            <w:tcBorders>
              <w:top w:val="single" w:sz="8" w:space="0" w:color="BFBFBF"/>
              <w:left w:val="single" w:sz="8" w:space="0" w:color="BFBFBF"/>
              <w:bottom w:val="single" w:sz="4" w:space="0" w:color="BFBFBF"/>
              <w:right w:val="single" w:sz="8" w:space="0" w:color="BFBFBF"/>
            </w:tcBorders>
            <w:shd w:val="clear" w:color="auto" w:fill="F2F2F2" w:themeFill="background1" w:themeFillShade="F2"/>
            <w:tcMar>
              <w:top w:w="100" w:type="nil"/>
              <w:right w:w="100" w:type="nil"/>
            </w:tcMar>
            <w:vAlign w:val="center"/>
          </w:tcPr>
          <w:p w14:paraId="4B294726" w14:textId="5A4F16AE" w:rsidR="00422940" w:rsidRPr="001D204C" w:rsidRDefault="00422940" w:rsidP="00505784">
            <w:pPr>
              <w:autoSpaceDE w:val="0"/>
              <w:autoSpaceDN w:val="0"/>
              <w:adjustRightInd w:val="0"/>
              <w:jc w:val="center"/>
              <w:rPr>
                <w:rFonts w:eastAsiaTheme="minorEastAsia"/>
              </w:rPr>
            </w:pPr>
            <w:r w:rsidRPr="001D204C">
              <w:rPr>
                <w:rFonts w:eastAsiaTheme="minorEastAsia"/>
              </w:rPr>
              <w:t>8.38</w:t>
            </w:r>
          </w:p>
        </w:tc>
        <w:tc>
          <w:tcPr>
            <w:tcW w:w="630" w:type="dxa"/>
            <w:tcBorders>
              <w:top w:val="single" w:sz="8" w:space="0" w:color="BFBFBF"/>
              <w:left w:val="single" w:sz="8" w:space="0" w:color="BFBFBF"/>
              <w:bottom w:val="single" w:sz="4" w:space="0" w:color="BFBFBF"/>
              <w:right w:val="single" w:sz="8" w:space="0" w:color="BFBFBF"/>
            </w:tcBorders>
            <w:shd w:val="clear" w:color="auto" w:fill="F2F2F2" w:themeFill="background1" w:themeFillShade="F2"/>
            <w:tcMar>
              <w:top w:w="100" w:type="nil"/>
              <w:right w:w="100" w:type="nil"/>
            </w:tcMar>
            <w:vAlign w:val="center"/>
          </w:tcPr>
          <w:p w14:paraId="099B54D9" w14:textId="79714CF2" w:rsidR="00422940" w:rsidRPr="001D204C" w:rsidRDefault="00422940" w:rsidP="00505784">
            <w:pPr>
              <w:autoSpaceDE w:val="0"/>
              <w:autoSpaceDN w:val="0"/>
              <w:adjustRightInd w:val="0"/>
              <w:jc w:val="center"/>
              <w:rPr>
                <w:rFonts w:eastAsiaTheme="minorEastAsia"/>
              </w:rPr>
            </w:pPr>
            <w:r w:rsidRPr="001D204C">
              <w:rPr>
                <w:rFonts w:eastAsiaTheme="minorEastAsia"/>
              </w:rPr>
              <w:t>102</w:t>
            </w:r>
          </w:p>
        </w:tc>
      </w:tr>
    </w:tbl>
    <w:p w14:paraId="064D850D" w14:textId="258F9FC8" w:rsidR="00F90630" w:rsidRDefault="00F90630" w:rsidP="00951642"/>
    <w:p w14:paraId="11F17EA5" w14:textId="77777777" w:rsidR="009E7AEA" w:rsidRPr="001D204C" w:rsidRDefault="009E7AEA" w:rsidP="00951642"/>
    <w:p w14:paraId="1AE0A7E2" w14:textId="512E0047" w:rsidR="003276D6" w:rsidRDefault="003276D6" w:rsidP="001D204C">
      <w:pPr>
        <w:pStyle w:val="ListParagraph"/>
        <w:numPr>
          <w:ilvl w:val="0"/>
          <w:numId w:val="2"/>
        </w:numPr>
        <w:spacing w:line="480" w:lineRule="auto"/>
        <w:jc w:val="center"/>
        <w:rPr>
          <w:b/>
          <w:bCs/>
        </w:rPr>
      </w:pPr>
      <w:r w:rsidRPr="001D204C">
        <w:rPr>
          <w:b/>
          <w:bCs/>
        </w:rPr>
        <w:lastRenderedPageBreak/>
        <w:t>Methodology</w:t>
      </w:r>
      <w:r w:rsidR="001D204C" w:rsidRPr="001D204C">
        <w:rPr>
          <w:b/>
          <w:bCs/>
        </w:rPr>
        <w:t xml:space="preserve"> &amp; </w:t>
      </w:r>
      <w:r w:rsidRPr="001D204C">
        <w:rPr>
          <w:b/>
          <w:bCs/>
        </w:rPr>
        <w:t>Results</w:t>
      </w:r>
    </w:p>
    <w:p w14:paraId="50412DFE" w14:textId="5ECE47F1" w:rsidR="001D204C" w:rsidRPr="001D204C" w:rsidRDefault="001D204C" w:rsidP="001D204C">
      <w:pPr>
        <w:pStyle w:val="PlainText"/>
        <w:jc w:val="center"/>
        <w:rPr>
          <w:rFonts w:ascii="Times New Roman" w:hAnsi="Times New Roman" w:cs="Times New Roman"/>
          <w:b/>
          <w:bCs/>
          <w:sz w:val="24"/>
          <w:szCs w:val="24"/>
        </w:rPr>
      </w:pPr>
      <w:r w:rsidRPr="001D204C">
        <w:rPr>
          <w:rFonts w:ascii="Times New Roman" w:hAnsi="Times New Roman" w:cs="Times New Roman"/>
          <w:b/>
          <w:bCs/>
          <w:sz w:val="24"/>
          <w:szCs w:val="24"/>
        </w:rPr>
        <w:t>Table 2: OLS Regression Results</w:t>
      </w:r>
    </w:p>
    <w:p w14:paraId="7A9B5B8D"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w:t>
      </w:r>
    </w:p>
    <w:p w14:paraId="3514348C"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                      (1)          </w:t>
      </w:r>
      <w:proofErr w:type="gramStart"/>
      <w:r w:rsidRPr="00591439">
        <w:rPr>
          <w:rFonts w:ascii="Courier New" w:hAnsi="Courier New" w:cs="Courier New"/>
          <w:sz w:val="18"/>
          <w:szCs w:val="18"/>
        </w:rPr>
        <w:t xml:space="preserve">   (</w:t>
      </w:r>
      <w:proofErr w:type="gramEnd"/>
      <w:r w:rsidRPr="00591439">
        <w:rPr>
          <w:rFonts w:ascii="Courier New" w:hAnsi="Courier New" w:cs="Courier New"/>
          <w:sz w:val="18"/>
          <w:szCs w:val="18"/>
        </w:rPr>
        <w:t xml:space="preserve">2)             (3)             (4)             (5)   </w:t>
      </w:r>
    </w:p>
    <w:p w14:paraId="6330B04E"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                GD_RATING       </w:t>
      </w:r>
      <w:proofErr w:type="spellStart"/>
      <w:r w:rsidRPr="00591439">
        <w:rPr>
          <w:rFonts w:ascii="Courier New" w:hAnsi="Courier New" w:cs="Courier New"/>
          <w:sz w:val="18"/>
          <w:szCs w:val="18"/>
        </w:rPr>
        <w:t>GD_RATING</w:t>
      </w:r>
      <w:proofErr w:type="spellEnd"/>
      <w:r w:rsidRPr="00591439">
        <w:rPr>
          <w:rFonts w:ascii="Courier New" w:hAnsi="Courier New" w:cs="Courier New"/>
          <w:sz w:val="18"/>
          <w:szCs w:val="18"/>
        </w:rPr>
        <w:t xml:space="preserve">       </w:t>
      </w:r>
      <w:proofErr w:type="spellStart"/>
      <w:r w:rsidRPr="00591439">
        <w:rPr>
          <w:rFonts w:ascii="Courier New" w:hAnsi="Courier New" w:cs="Courier New"/>
          <w:sz w:val="18"/>
          <w:szCs w:val="18"/>
        </w:rPr>
        <w:t>GD_RATING</w:t>
      </w:r>
      <w:proofErr w:type="spellEnd"/>
      <w:r w:rsidRPr="00591439">
        <w:rPr>
          <w:rFonts w:ascii="Courier New" w:hAnsi="Courier New" w:cs="Courier New"/>
          <w:sz w:val="18"/>
          <w:szCs w:val="18"/>
        </w:rPr>
        <w:t xml:space="preserve">       </w:t>
      </w:r>
      <w:proofErr w:type="spellStart"/>
      <w:r w:rsidRPr="00591439">
        <w:rPr>
          <w:rFonts w:ascii="Courier New" w:hAnsi="Courier New" w:cs="Courier New"/>
          <w:sz w:val="18"/>
          <w:szCs w:val="18"/>
        </w:rPr>
        <w:t>GD_RATING</w:t>
      </w:r>
      <w:proofErr w:type="spellEnd"/>
      <w:r w:rsidRPr="00591439">
        <w:rPr>
          <w:rFonts w:ascii="Courier New" w:hAnsi="Courier New" w:cs="Courier New"/>
          <w:sz w:val="18"/>
          <w:szCs w:val="18"/>
        </w:rPr>
        <w:t xml:space="preserve">       </w:t>
      </w:r>
      <w:proofErr w:type="spellStart"/>
      <w:r w:rsidRPr="00591439">
        <w:rPr>
          <w:rFonts w:ascii="Courier New" w:hAnsi="Courier New" w:cs="Courier New"/>
          <w:sz w:val="18"/>
          <w:szCs w:val="18"/>
        </w:rPr>
        <w:t>GD_RATING</w:t>
      </w:r>
      <w:proofErr w:type="spellEnd"/>
      <w:r w:rsidRPr="00591439">
        <w:rPr>
          <w:rFonts w:ascii="Courier New" w:hAnsi="Courier New" w:cs="Courier New"/>
          <w:sz w:val="18"/>
          <w:szCs w:val="18"/>
        </w:rPr>
        <w:t xml:space="preserve">   </w:t>
      </w:r>
    </w:p>
    <w:p w14:paraId="5DE88B2F"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w:t>
      </w:r>
    </w:p>
    <w:p w14:paraId="3D3064AA"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ROA                 6.298                           1.276           0.537           0.488   </w:t>
      </w:r>
    </w:p>
    <w:p w14:paraId="04929864"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                  (4.628)                      </w:t>
      </w:r>
      <w:proofErr w:type="gramStart"/>
      <w:r w:rsidRPr="00591439">
        <w:rPr>
          <w:rFonts w:ascii="Courier New" w:hAnsi="Courier New" w:cs="Courier New"/>
          <w:sz w:val="18"/>
          <w:szCs w:val="18"/>
        </w:rPr>
        <w:t xml:space="preserve">   (</w:t>
      </w:r>
      <w:proofErr w:type="gramEnd"/>
      <w:r w:rsidRPr="00591439">
        <w:rPr>
          <w:rFonts w:ascii="Courier New" w:hAnsi="Courier New" w:cs="Courier New"/>
          <w:sz w:val="18"/>
          <w:szCs w:val="18"/>
        </w:rPr>
        <w:t xml:space="preserve">2.785)         (2.810)         (2.831)   </w:t>
      </w:r>
    </w:p>
    <w:p w14:paraId="06ECE483" w14:textId="77777777" w:rsidR="00981CC8" w:rsidRPr="00591439" w:rsidRDefault="00981CC8" w:rsidP="00F224A1">
      <w:pPr>
        <w:pStyle w:val="PlainText"/>
        <w:ind w:left="-270" w:right="-720"/>
        <w:rPr>
          <w:rFonts w:ascii="Courier New" w:hAnsi="Courier New" w:cs="Courier New"/>
          <w:sz w:val="18"/>
          <w:szCs w:val="18"/>
        </w:rPr>
      </w:pPr>
    </w:p>
    <w:p w14:paraId="49072133"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ROE                                 2.200                                                   </w:t>
      </w:r>
    </w:p>
    <w:p w14:paraId="3191706E"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                                  (1.380)                                                   </w:t>
      </w:r>
    </w:p>
    <w:p w14:paraId="3392E9B4" w14:textId="77777777" w:rsidR="00981CC8" w:rsidRPr="00591439" w:rsidRDefault="00981CC8" w:rsidP="00F224A1">
      <w:pPr>
        <w:pStyle w:val="PlainText"/>
        <w:ind w:left="-270" w:right="-720"/>
        <w:rPr>
          <w:rFonts w:ascii="Courier New" w:hAnsi="Courier New" w:cs="Courier New"/>
          <w:sz w:val="18"/>
          <w:szCs w:val="18"/>
        </w:rPr>
      </w:pPr>
    </w:p>
    <w:p w14:paraId="261C6BA5"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APPROVE_CEO                                         2.750***        2.654***        2.666***</w:t>
      </w:r>
    </w:p>
    <w:p w14:paraId="2B5A56D5"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                                                  (0.207)      </w:t>
      </w:r>
      <w:proofErr w:type="gramStart"/>
      <w:r w:rsidRPr="00591439">
        <w:rPr>
          <w:rFonts w:ascii="Courier New" w:hAnsi="Courier New" w:cs="Courier New"/>
          <w:sz w:val="18"/>
          <w:szCs w:val="18"/>
        </w:rPr>
        <w:t xml:space="preserve">   (</w:t>
      </w:r>
      <w:proofErr w:type="gramEnd"/>
      <w:r w:rsidRPr="00591439">
        <w:rPr>
          <w:rFonts w:ascii="Courier New" w:hAnsi="Courier New" w:cs="Courier New"/>
          <w:sz w:val="18"/>
          <w:szCs w:val="18"/>
        </w:rPr>
        <w:t xml:space="preserve">0.214)         (0.215)   </w:t>
      </w:r>
    </w:p>
    <w:p w14:paraId="43C20491" w14:textId="77777777" w:rsidR="00981CC8" w:rsidRPr="00591439" w:rsidRDefault="00981CC8" w:rsidP="00F224A1">
      <w:pPr>
        <w:pStyle w:val="PlainText"/>
        <w:ind w:left="-270" w:right="-720"/>
        <w:rPr>
          <w:rFonts w:ascii="Courier New" w:hAnsi="Courier New" w:cs="Courier New"/>
          <w:sz w:val="18"/>
          <w:szCs w:val="18"/>
        </w:rPr>
      </w:pPr>
    </w:p>
    <w:p w14:paraId="05360AB1"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IQ_PROFESS~Y                                                 -0.000000102       -9.70e-08   </w:t>
      </w:r>
    </w:p>
    <w:p w14:paraId="0544DDE1" w14:textId="77777777" w:rsidR="00981CC8" w:rsidRPr="00591439" w:rsidRDefault="00981CC8" w:rsidP="00F224A1">
      <w:pPr>
        <w:pStyle w:val="PlainText"/>
        <w:ind w:left="-270" w:right="-720"/>
        <w:rPr>
          <w:rFonts w:ascii="Courier New" w:hAnsi="Courier New" w:cs="Courier New"/>
          <w:sz w:val="18"/>
          <w:szCs w:val="18"/>
          <w:lang w:val="fr-FR"/>
        </w:rPr>
      </w:pPr>
      <w:r w:rsidRPr="00591439">
        <w:rPr>
          <w:rFonts w:ascii="Courier New" w:hAnsi="Courier New" w:cs="Courier New"/>
          <w:sz w:val="18"/>
          <w:szCs w:val="18"/>
        </w:rPr>
        <w:t xml:space="preserve">                                                             </w:t>
      </w:r>
      <w:r w:rsidRPr="00591439">
        <w:rPr>
          <w:rFonts w:ascii="Courier New" w:hAnsi="Courier New" w:cs="Courier New"/>
          <w:sz w:val="18"/>
          <w:szCs w:val="18"/>
          <w:lang w:val="fr-FR"/>
        </w:rPr>
        <w:t xml:space="preserve">(0.000000115) </w:t>
      </w:r>
      <w:proofErr w:type="gramStart"/>
      <w:r w:rsidRPr="00591439">
        <w:rPr>
          <w:rFonts w:ascii="Courier New" w:hAnsi="Courier New" w:cs="Courier New"/>
          <w:sz w:val="18"/>
          <w:szCs w:val="18"/>
          <w:lang w:val="fr-FR"/>
        </w:rPr>
        <w:t xml:space="preserve">   (</w:t>
      </w:r>
      <w:proofErr w:type="gramEnd"/>
      <w:r w:rsidRPr="00591439">
        <w:rPr>
          <w:rFonts w:ascii="Courier New" w:hAnsi="Courier New" w:cs="Courier New"/>
          <w:sz w:val="18"/>
          <w:szCs w:val="18"/>
          <w:lang w:val="fr-FR"/>
        </w:rPr>
        <w:t xml:space="preserve">0.000000115)   </w:t>
      </w:r>
    </w:p>
    <w:p w14:paraId="3E00AF58" w14:textId="77777777" w:rsidR="00981CC8" w:rsidRPr="00591439" w:rsidRDefault="00981CC8" w:rsidP="00F224A1">
      <w:pPr>
        <w:pStyle w:val="PlainText"/>
        <w:ind w:left="-270" w:right="-720"/>
        <w:rPr>
          <w:rFonts w:ascii="Courier New" w:hAnsi="Courier New" w:cs="Courier New"/>
          <w:sz w:val="18"/>
          <w:szCs w:val="18"/>
          <w:lang w:val="fr-FR"/>
        </w:rPr>
      </w:pPr>
    </w:p>
    <w:p w14:paraId="3B539C0F" w14:textId="77777777" w:rsidR="00981CC8" w:rsidRPr="00591439" w:rsidRDefault="00981CC8" w:rsidP="00F224A1">
      <w:pPr>
        <w:pStyle w:val="PlainText"/>
        <w:ind w:left="-270" w:right="-720"/>
        <w:rPr>
          <w:rFonts w:ascii="Courier New" w:hAnsi="Courier New" w:cs="Courier New"/>
          <w:sz w:val="18"/>
          <w:szCs w:val="18"/>
          <w:lang w:val="fr-FR"/>
        </w:rPr>
      </w:pPr>
      <w:r w:rsidRPr="00591439">
        <w:rPr>
          <w:rFonts w:ascii="Courier New" w:hAnsi="Courier New" w:cs="Courier New"/>
          <w:sz w:val="18"/>
          <w:szCs w:val="18"/>
          <w:lang w:val="fr-FR"/>
        </w:rPr>
        <w:t xml:space="preserve">IQ_PROFESS~P                                                     1.69e-08        1.58e-08   </w:t>
      </w:r>
    </w:p>
    <w:p w14:paraId="1196C42B" w14:textId="77777777" w:rsidR="00981CC8" w:rsidRPr="00591439" w:rsidRDefault="00981CC8" w:rsidP="00F224A1">
      <w:pPr>
        <w:pStyle w:val="PlainText"/>
        <w:ind w:left="-270" w:right="-720"/>
        <w:rPr>
          <w:rFonts w:ascii="Courier New" w:hAnsi="Courier New" w:cs="Courier New"/>
          <w:sz w:val="18"/>
          <w:szCs w:val="18"/>
          <w:lang w:val="fr-FR"/>
        </w:rPr>
      </w:pPr>
      <w:r w:rsidRPr="00591439">
        <w:rPr>
          <w:rFonts w:ascii="Courier New" w:hAnsi="Courier New" w:cs="Courier New"/>
          <w:sz w:val="18"/>
          <w:szCs w:val="18"/>
          <w:lang w:val="fr-FR"/>
        </w:rPr>
        <w:t xml:space="preserve">                                                               (2.07e-08)   </w:t>
      </w:r>
      <w:proofErr w:type="gramStart"/>
      <w:r w:rsidRPr="00591439">
        <w:rPr>
          <w:rFonts w:ascii="Courier New" w:hAnsi="Courier New" w:cs="Courier New"/>
          <w:sz w:val="18"/>
          <w:szCs w:val="18"/>
          <w:lang w:val="fr-FR"/>
        </w:rPr>
        <w:t xml:space="preserve">   (</w:t>
      </w:r>
      <w:proofErr w:type="gramEnd"/>
      <w:r w:rsidRPr="00591439">
        <w:rPr>
          <w:rFonts w:ascii="Courier New" w:hAnsi="Courier New" w:cs="Courier New"/>
          <w:sz w:val="18"/>
          <w:szCs w:val="18"/>
          <w:lang w:val="fr-FR"/>
        </w:rPr>
        <w:t xml:space="preserve">2.07e-08)   </w:t>
      </w:r>
    </w:p>
    <w:p w14:paraId="5FF05B7E" w14:textId="77777777" w:rsidR="00981CC8" w:rsidRPr="00591439" w:rsidRDefault="00981CC8" w:rsidP="00F224A1">
      <w:pPr>
        <w:pStyle w:val="PlainText"/>
        <w:ind w:left="-270" w:right="-720"/>
        <w:rPr>
          <w:rFonts w:ascii="Courier New" w:hAnsi="Courier New" w:cs="Courier New"/>
          <w:sz w:val="18"/>
          <w:szCs w:val="18"/>
          <w:lang w:val="fr-FR"/>
        </w:rPr>
      </w:pPr>
    </w:p>
    <w:p w14:paraId="22F2E19E" w14:textId="77777777" w:rsidR="00981CC8" w:rsidRPr="00591439" w:rsidRDefault="00981CC8" w:rsidP="00F224A1">
      <w:pPr>
        <w:pStyle w:val="PlainText"/>
        <w:ind w:left="-270" w:right="-720"/>
        <w:rPr>
          <w:rFonts w:ascii="Courier New" w:hAnsi="Courier New" w:cs="Courier New"/>
          <w:sz w:val="18"/>
          <w:szCs w:val="18"/>
          <w:lang w:val="fr-FR"/>
        </w:rPr>
      </w:pPr>
      <w:r w:rsidRPr="00591439">
        <w:rPr>
          <w:rFonts w:ascii="Courier New" w:hAnsi="Courier New" w:cs="Courier New"/>
          <w:sz w:val="18"/>
          <w:szCs w:val="18"/>
          <w:lang w:val="fr-FR"/>
        </w:rPr>
        <w:t xml:space="preserve">IQ_PROFESS~K                                                    -3.23e-08       -3.14e-08   </w:t>
      </w:r>
    </w:p>
    <w:p w14:paraId="5AC63301" w14:textId="77777777" w:rsidR="00981CC8" w:rsidRPr="00591439" w:rsidRDefault="00981CC8" w:rsidP="00F224A1">
      <w:pPr>
        <w:pStyle w:val="PlainText"/>
        <w:ind w:left="-270" w:right="-720"/>
        <w:rPr>
          <w:rFonts w:ascii="Courier New" w:hAnsi="Courier New" w:cs="Courier New"/>
          <w:sz w:val="18"/>
          <w:szCs w:val="18"/>
          <w:lang w:val="fr-FR"/>
        </w:rPr>
      </w:pPr>
      <w:r w:rsidRPr="00591439">
        <w:rPr>
          <w:rFonts w:ascii="Courier New" w:hAnsi="Courier New" w:cs="Courier New"/>
          <w:sz w:val="18"/>
          <w:szCs w:val="18"/>
          <w:lang w:val="fr-FR"/>
        </w:rPr>
        <w:t xml:space="preserve">                                                               (2.48e-08)   </w:t>
      </w:r>
      <w:proofErr w:type="gramStart"/>
      <w:r w:rsidRPr="00591439">
        <w:rPr>
          <w:rFonts w:ascii="Courier New" w:hAnsi="Courier New" w:cs="Courier New"/>
          <w:sz w:val="18"/>
          <w:szCs w:val="18"/>
          <w:lang w:val="fr-FR"/>
        </w:rPr>
        <w:t xml:space="preserve">   (</w:t>
      </w:r>
      <w:proofErr w:type="gramEnd"/>
      <w:r w:rsidRPr="00591439">
        <w:rPr>
          <w:rFonts w:ascii="Courier New" w:hAnsi="Courier New" w:cs="Courier New"/>
          <w:sz w:val="18"/>
          <w:szCs w:val="18"/>
          <w:lang w:val="fr-FR"/>
        </w:rPr>
        <w:t xml:space="preserve">2.49e-08)   </w:t>
      </w:r>
    </w:p>
    <w:p w14:paraId="009F8795" w14:textId="77777777" w:rsidR="00981CC8" w:rsidRPr="00591439" w:rsidRDefault="00981CC8" w:rsidP="00F224A1">
      <w:pPr>
        <w:pStyle w:val="PlainText"/>
        <w:ind w:left="-270" w:right="-720"/>
        <w:rPr>
          <w:rFonts w:ascii="Courier New" w:hAnsi="Courier New" w:cs="Courier New"/>
          <w:sz w:val="18"/>
          <w:szCs w:val="18"/>
          <w:lang w:val="fr-FR"/>
        </w:rPr>
      </w:pPr>
    </w:p>
    <w:p w14:paraId="032106EB" w14:textId="77777777" w:rsidR="00981CC8" w:rsidRPr="00591439" w:rsidRDefault="00981CC8" w:rsidP="00F224A1">
      <w:pPr>
        <w:pStyle w:val="PlainText"/>
        <w:ind w:left="-270" w:right="-720"/>
        <w:rPr>
          <w:rFonts w:ascii="Courier New" w:hAnsi="Courier New" w:cs="Courier New"/>
          <w:sz w:val="18"/>
          <w:szCs w:val="18"/>
          <w:lang w:val="fr-FR"/>
        </w:rPr>
      </w:pPr>
      <w:r w:rsidRPr="00591439">
        <w:rPr>
          <w:rFonts w:ascii="Courier New" w:hAnsi="Courier New" w:cs="Courier New"/>
          <w:sz w:val="18"/>
          <w:szCs w:val="18"/>
          <w:lang w:val="fr-FR"/>
        </w:rPr>
        <w:t xml:space="preserve">IQ_PROFESS~S                                                    -7.04e-09       -3.62e-09   </w:t>
      </w:r>
    </w:p>
    <w:p w14:paraId="25132A29"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lang w:val="fr-FR"/>
        </w:rPr>
        <w:t xml:space="preserve">                                                               </w:t>
      </w:r>
      <w:r w:rsidRPr="00591439">
        <w:rPr>
          <w:rFonts w:ascii="Courier New" w:hAnsi="Courier New" w:cs="Courier New"/>
          <w:sz w:val="18"/>
          <w:szCs w:val="18"/>
        </w:rPr>
        <w:t xml:space="preserve">(5.46e-08)   </w:t>
      </w:r>
      <w:proofErr w:type="gramStart"/>
      <w:r w:rsidRPr="00591439">
        <w:rPr>
          <w:rFonts w:ascii="Courier New" w:hAnsi="Courier New" w:cs="Courier New"/>
          <w:sz w:val="18"/>
          <w:szCs w:val="18"/>
        </w:rPr>
        <w:t xml:space="preserve">   (</w:t>
      </w:r>
      <w:proofErr w:type="gramEnd"/>
      <w:r w:rsidRPr="00591439">
        <w:rPr>
          <w:rFonts w:ascii="Courier New" w:hAnsi="Courier New" w:cs="Courier New"/>
          <w:sz w:val="18"/>
          <w:szCs w:val="18"/>
        </w:rPr>
        <w:t xml:space="preserve">5.55e-08)   </w:t>
      </w:r>
    </w:p>
    <w:p w14:paraId="6B451C20" w14:textId="77777777" w:rsidR="00981CC8" w:rsidRPr="00591439" w:rsidRDefault="00981CC8" w:rsidP="00F224A1">
      <w:pPr>
        <w:pStyle w:val="PlainText"/>
        <w:ind w:left="-270" w:right="-720"/>
        <w:rPr>
          <w:rFonts w:ascii="Courier New" w:hAnsi="Courier New" w:cs="Courier New"/>
          <w:sz w:val="18"/>
          <w:szCs w:val="18"/>
        </w:rPr>
      </w:pPr>
    </w:p>
    <w:p w14:paraId="5554F624"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DEBT_EQUIT~O                                                                       0.0344   </w:t>
      </w:r>
    </w:p>
    <w:p w14:paraId="3773A4B6"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                                                                                 (0.0267)   </w:t>
      </w:r>
    </w:p>
    <w:p w14:paraId="6A82A797" w14:textId="77777777" w:rsidR="00981CC8" w:rsidRPr="00591439" w:rsidRDefault="00981CC8" w:rsidP="00F224A1">
      <w:pPr>
        <w:pStyle w:val="PlainText"/>
        <w:ind w:left="-270" w:right="-720"/>
        <w:rPr>
          <w:rFonts w:ascii="Courier New" w:hAnsi="Courier New" w:cs="Courier New"/>
          <w:sz w:val="18"/>
          <w:szCs w:val="18"/>
        </w:rPr>
      </w:pPr>
    </w:p>
    <w:p w14:paraId="31644504"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EPS                                                                                0.0106   </w:t>
      </w:r>
    </w:p>
    <w:p w14:paraId="6EB87946"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                                                                                 (0.0258)   </w:t>
      </w:r>
    </w:p>
    <w:p w14:paraId="361175EE" w14:textId="77777777" w:rsidR="00981CC8" w:rsidRPr="00591439" w:rsidRDefault="00981CC8" w:rsidP="00F224A1">
      <w:pPr>
        <w:pStyle w:val="PlainText"/>
        <w:ind w:left="-270" w:right="-720"/>
        <w:rPr>
          <w:rFonts w:ascii="Courier New" w:hAnsi="Courier New" w:cs="Courier New"/>
          <w:sz w:val="18"/>
          <w:szCs w:val="18"/>
        </w:rPr>
      </w:pPr>
    </w:p>
    <w:p w14:paraId="56E5FCE8"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_cons               3.431***        3.410***        1.300***        1.447***        1.382***</w:t>
      </w:r>
    </w:p>
    <w:p w14:paraId="50243B21"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                 (0.0775)     </w:t>
      </w:r>
      <w:proofErr w:type="gramStart"/>
      <w:r w:rsidRPr="00591439">
        <w:rPr>
          <w:rFonts w:ascii="Courier New" w:hAnsi="Courier New" w:cs="Courier New"/>
          <w:sz w:val="18"/>
          <w:szCs w:val="18"/>
        </w:rPr>
        <w:t xml:space="preserve">   (</w:t>
      </w:r>
      <w:proofErr w:type="gramEnd"/>
      <w:r w:rsidRPr="00591439">
        <w:rPr>
          <w:rFonts w:ascii="Courier New" w:hAnsi="Courier New" w:cs="Courier New"/>
          <w:sz w:val="18"/>
          <w:szCs w:val="18"/>
        </w:rPr>
        <w:t xml:space="preserve">0.0814)         (0.167)         (0.175)         (0.182)   </w:t>
      </w:r>
    </w:p>
    <w:p w14:paraId="18FD3B94"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w:t>
      </w:r>
    </w:p>
    <w:p w14:paraId="45E36765"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N                      99              99              99              99              99   </w:t>
      </w:r>
    </w:p>
    <w:p w14:paraId="4002643C"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 xml:space="preserve">R-sq                0.019           0.026           0.655           0.679           0.685   </w:t>
      </w:r>
    </w:p>
    <w:p w14:paraId="36CC23C5"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w:t>
      </w:r>
    </w:p>
    <w:p w14:paraId="50850B77" w14:textId="77777777" w:rsidR="00981CC8" w:rsidRPr="00591439" w:rsidRDefault="00981CC8" w:rsidP="00F224A1">
      <w:pPr>
        <w:pStyle w:val="PlainText"/>
        <w:ind w:left="-270" w:right="-720"/>
        <w:rPr>
          <w:rFonts w:ascii="Courier New" w:hAnsi="Courier New" w:cs="Courier New"/>
          <w:sz w:val="18"/>
          <w:szCs w:val="18"/>
        </w:rPr>
      </w:pPr>
      <w:r w:rsidRPr="00591439">
        <w:rPr>
          <w:rFonts w:ascii="Courier New" w:hAnsi="Courier New" w:cs="Courier New"/>
          <w:sz w:val="18"/>
          <w:szCs w:val="18"/>
        </w:rPr>
        <w:t>Standard errors in parentheses</w:t>
      </w:r>
    </w:p>
    <w:p w14:paraId="3E02E437" w14:textId="5A00C63A" w:rsidR="00DF4115" w:rsidRDefault="00981CC8" w:rsidP="00CD507F">
      <w:pPr>
        <w:pStyle w:val="PlainText"/>
        <w:ind w:left="-270" w:right="-720"/>
        <w:rPr>
          <w:rFonts w:ascii="Courier New" w:hAnsi="Courier New" w:cs="Courier New"/>
          <w:sz w:val="18"/>
          <w:szCs w:val="18"/>
        </w:rPr>
      </w:pPr>
      <w:r w:rsidRPr="00591439">
        <w:rPr>
          <w:rFonts w:ascii="Courier New" w:hAnsi="Courier New" w:cs="Courier New"/>
          <w:sz w:val="18"/>
          <w:szCs w:val="18"/>
        </w:rPr>
        <w:t>* p&lt;0.05, ** p&lt;0.01, *** p&lt;0.001</w:t>
      </w:r>
    </w:p>
    <w:p w14:paraId="6AC17CBA" w14:textId="77777777" w:rsidR="00CD507F" w:rsidRPr="00CD507F" w:rsidRDefault="00CD507F" w:rsidP="00CD507F">
      <w:pPr>
        <w:pStyle w:val="PlainText"/>
        <w:ind w:left="-270" w:right="-720"/>
        <w:rPr>
          <w:rFonts w:ascii="Courier New" w:hAnsi="Courier New" w:cs="Courier New"/>
          <w:sz w:val="18"/>
          <w:szCs w:val="18"/>
        </w:rPr>
      </w:pPr>
    </w:p>
    <w:p w14:paraId="4507B03B" w14:textId="0B28F9C6" w:rsidR="00B4151D" w:rsidRDefault="004D6756" w:rsidP="00B4151D">
      <w:pPr>
        <w:spacing w:line="480" w:lineRule="auto"/>
      </w:pPr>
      <w:r>
        <w:t xml:space="preserve">The first significant </w:t>
      </w:r>
      <w:r w:rsidR="00067CDB">
        <w:t xml:space="preserve">takeaway </w:t>
      </w:r>
      <w:r>
        <w:t xml:space="preserve">is that </w:t>
      </w:r>
      <w:r w:rsidR="00AF5F99">
        <w:t xml:space="preserve">both ROA and ROE </w:t>
      </w:r>
      <w:r w:rsidR="003B0E65">
        <w:t xml:space="preserve">alone </w:t>
      </w:r>
      <w:r w:rsidR="00AF5F99">
        <w:t>are not found to be statistically significantly associated with overall employee satisfaction</w:t>
      </w:r>
      <w:r w:rsidR="00236595">
        <w:t xml:space="preserve"> in the financial industry, all else equal</w:t>
      </w:r>
      <w:r w:rsidR="00AF5F99">
        <w:t xml:space="preserve">. </w:t>
      </w:r>
      <w:r w:rsidR="00DC7A4F">
        <w:t xml:space="preserve">This </w:t>
      </w:r>
      <w:r w:rsidR="00BE5C40">
        <w:t xml:space="preserve">partially </w:t>
      </w:r>
      <w:r w:rsidR="00795FB9">
        <w:t xml:space="preserve">contradicts previous research, </w:t>
      </w:r>
      <w:r w:rsidR="00236595">
        <w:t xml:space="preserve">although </w:t>
      </w:r>
      <w:r w:rsidR="00BE5C40">
        <w:t>the coefficients are still positive,</w:t>
      </w:r>
      <w:r w:rsidR="00F7775C">
        <w:t xml:space="preserve"> supporting that they are positively linearly related. T</w:t>
      </w:r>
      <w:r w:rsidR="00236595">
        <w:t xml:space="preserve">his could </w:t>
      </w:r>
      <w:r w:rsidR="00F7775C">
        <w:t xml:space="preserve">also </w:t>
      </w:r>
      <w:r w:rsidR="00236595">
        <w:t>be due to the small sample size of the st</w:t>
      </w:r>
      <w:r w:rsidR="008F4E14">
        <w:t xml:space="preserve">udy. </w:t>
      </w:r>
      <w:r w:rsidR="003269B8">
        <w:t>Despite this</w:t>
      </w:r>
      <w:r w:rsidR="00BA3E63">
        <w:t xml:space="preserve">, </w:t>
      </w:r>
      <w:r w:rsidR="00735B5D">
        <w:t xml:space="preserve">I find that overall employee satisfaction is linearly related to CEO approval ratings. </w:t>
      </w:r>
      <w:r w:rsidR="00676D32">
        <w:t xml:space="preserve">The R-squared of the model is 0.655, meaning that 65.5% of the variation in employee satisfaction ratings </w:t>
      </w:r>
      <w:r w:rsidR="00153E8B">
        <w:t xml:space="preserve">in the financial industry </w:t>
      </w:r>
      <w:r w:rsidR="00676D32">
        <w:t xml:space="preserve">can be explained by </w:t>
      </w:r>
      <w:r w:rsidR="00713568">
        <w:t xml:space="preserve">CEO approval ratings. </w:t>
      </w:r>
      <w:r w:rsidR="008135A8">
        <w:lastRenderedPageBreak/>
        <w:t xml:space="preserve">The predictability of the model only increases slightly when controlling for CEO compensation and even less so when controlling for leverage and equity earnings. </w:t>
      </w:r>
      <w:r w:rsidR="00016901">
        <w:t xml:space="preserve">Increasing </w:t>
      </w:r>
      <w:r w:rsidR="00D81CA1">
        <w:t>CEO approval ratings by 1% increases overall employee satisfaction ratings by about .27 stars</w:t>
      </w:r>
      <w:r w:rsidR="007C60EE">
        <w:t xml:space="preserve"> in the financial industry</w:t>
      </w:r>
      <w:r w:rsidR="00D81CA1">
        <w:t xml:space="preserve">, all else equal. </w:t>
      </w:r>
    </w:p>
    <w:p w14:paraId="02EA6F63" w14:textId="459B3895" w:rsidR="00B4151D" w:rsidRDefault="0070280C" w:rsidP="00326C1C">
      <w:pPr>
        <w:spacing w:line="480" w:lineRule="auto"/>
        <w:ind w:firstLine="360"/>
      </w:pPr>
      <w:r>
        <w:t xml:space="preserve">Although the model did not support the direct relationship between </w:t>
      </w:r>
      <w:r w:rsidR="00C71D18">
        <w:t xml:space="preserve">ROA and </w:t>
      </w:r>
      <w:r w:rsidR="00A07332">
        <w:t>overall employee satisfaction</w:t>
      </w:r>
      <w:r w:rsidR="007C60EE">
        <w:t xml:space="preserve"> in the financial industry</w:t>
      </w:r>
      <w:r w:rsidR="00A07332">
        <w:t>,</w:t>
      </w:r>
      <w:r w:rsidR="003D4E30">
        <w:t xml:space="preserve"> there is evidence that investing in company intangibles </w:t>
      </w:r>
      <w:r w:rsidR="008E6F12">
        <w:t xml:space="preserve">can positively impact a financial firm. </w:t>
      </w:r>
      <w:r w:rsidR="007C60EE">
        <w:t xml:space="preserve">As was discussed in the literature review, </w:t>
      </w:r>
      <w:r w:rsidR="00BD25C3">
        <w:t xml:space="preserve">improving company culture in the finance industry can </w:t>
      </w:r>
      <w:r w:rsidR="00022415">
        <w:t xml:space="preserve">better align employee values, increase productivity, and </w:t>
      </w:r>
      <w:r w:rsidR="005F6AAB">
        <w:t xml:space="preserve">decrease risk. </w:t>
      </w:r>
      <w:r w:rsidR="00120A51">
        <w:t xml:space="preserve">A key mechanism in improving company culture is </w:t>
      </w:r>
      <w:r w:rsidR="005D4DA7">
        <w:t xml:space="preserve">CEO approval. </w:t>
      </w:r>
      <w:r w:rsidR="004C3A4D">
        <w:t xml:space="preserve">Therefore, </w:t>
      </w:r>
      <w:r w:rsidR="00606162">
        <w:t xml:space="preserve">choosing a CEO that </w:t>
      </w:r>
      <w:r w:rsidR="008F6A33">
        <w:t>is well-accepted by the firm is key to increasing firm intangibles</w:t>
      </w:r>
      <w:r w:rsidR="00085BD7">
        <w:t xml:space="preserve"> that contribute to firm value. </w:t>
      </w:r>
      <w:r w:rsidR="00026E6B">
        <w:t xml:space="preserve">This finding also highlights the importance of human resources departments in the financial industry. </w:t>
      </w:r>
      <w:r w:rsidR="008B76D4">
        <w:t xml:space="preserve">Their ability to </w:t>
      </w:r>
      <w:r w:rsidR="0037759F">
        <w:t xml:space="preserve">identify </w:t>
      </w:r>
      <w:r w:rsidR="00BE54E4">
        <w:t xml:space="preserve">and hire </w:t>
      </w:r>
      <w:r w:rsidR="00B63FD5">
        <w:t xml:space="preserve">leadership </w:t>
      </w:r>
      <w:r w:rsidR="00A32308">
        <w:t xml:space="preserve">that </w:t>
      </w:r>
      <w:r w:rsidR="005C0A38">
        <w:t xml:space="preserve">is compatible </w:t>
      </w:r>
      <w:r w:rsidR="00B80F77">
        <w:t>with</w:t>
      </w:r>
      <w:r w:rsidR="005C0A38">
        <w:t xml:space="preserve"> a firm’s values </w:t>
      </w:r>
      <w:r w:rsidR="000D4B18">
        <w:t xml:space="preserve">is </w:t>
      </w:r>
      <w:r w:rsidR="00DF5E2C">
        <w:t xml:space="preserve">key to the success of the firm. </w:t>
      </w:r>
      <w:r w:rsidR="00865DCA">
        <w:t xml:space="preserve">Not only </w:t>
      </w:r>
      <w:r w:rsidR="007538A1">
        <w:t>that but</w:t>
      </w:r>
      <w:r w:rsidR="00865DCA">
        <w:t xml:space="preserve"> </w:t>
      </w:r>
      <w:r w:rsidR="00881EA2">
        <w:t xml:space="preserve">rewarding employees throughout all parts of the firm that positively contribute to company culture </w:t>
      </w:r>
      <w:r w:rsidR="00441139">
        <w:t xml:space="preserve">created by leadership is important </w:t>
      </w:r>
      <w:r w:rsidR="008630F1">
        <w:t>for</w:t>
      </w:r>
      <w:r w:rsidR="00441139">
        <w:t xml:space="preserve"> unifying the firm. </w:t>
      </w:r>
    </w:p>
    <w:p w14:paraId="6F955C56" w14:textId="2C85FE3D" w:rsidR="00D874B3" w:rsidRDefault="00AF71A2" w:rsidP="00326C1C">
      <w:pPr>
        <w:spacing w:line="480" w:lineRule="auto"/>
        <w:ind w:firstLine="360"/>
      </w:pPr>
      <w:r>
        <w:t xml:space="preserve">The model employs several financial ratios, which warrants discussion on their validity. </w:t>
      </w:r>
      <w:r w:rsidR="00D874B3" w:rsidRPr="001D204C">
        <w:t xml:space="preserve">While </w:t>
      </w:r>
      <w:r w:rsidR="00921D75" w:rsidRPr="001D204C">
        <w:t xml:space="preserve">financial ratios are used to evaluate different aspects of </w:t>
      </w:r>
      <w:r w:rsidR="00D874B3" w:rsidRPr="001D204C">
        <w:t xml:space="preserve">firm performance, there are several potential problems with using financial ratios to quantify firm value. </w:t>
      </w:r>
      <w:r w:rsidR="00B1258A">
        <w:t>First of all, t</w:t>
      </w:r>
      <w:r w:rsidR="00D874B3" w:rsidRPr="001D204C">
        <w:t>here is no underlying theory</w:t>
      </w:r>
      <w:r w:rsidR="00B1258A">
        <w:t xml:space="preserve"> supporting the significance of these ratios</w:t>
      </w:r>
      <w:r w:rsidR="00D874B3" w:rsidRPr="001D204C">
        <w:t xml:space="preserve">, so there is no way to know which ratios are most relevant. </w:t>
      </w:r>
      <w:r w:rsidR="00D2299B">
        <w:t>So,</w:t>
      </w:r>
      <w:r w:rsidR="00B1258A">
        <w:t xml:space="preserve"> while I include ROA and the Debt-Equity ratio in my model, there is no guarantee that these are the best metrics for firm performance and leverage, respectively. </w:t>
      </w:r>
      <w:r w:rsidR="00D2299B">
        <w:t>Not only that, but b</w:t>
      </w:r>
      <w:r w:rsidR="00D874B3" w:rsidRPr="001D204C">
        <w:t>enchmarking is difficult for diversified firms</w:t>
      </w:r>
      <w:r w:rsidR="000964BA">
        <w:t xml:space="preserve">. </w:t>
      </w:r>
      <w:r w:rsidR="00C51CE9">
        <w:t>Cross-company comparison is also difficult</w:t>
      </w:r>
      <w:r w:rsidR="005269A4">
        <w:t xml:space="preserve"> due to several factors.</w:t>
      </w:r>
      <w:r w:rsidR="00C51CE9">
        <w:t xml:space="preserve"> </w:t>
      </w:r>
      <w:r w:rsidR="00D874B3" w:rsidRPr="001D204C">
        <w:t xml:space="preserve">Globalization and international competition </w:t>
      </w:r>
      <w:r w:rsidR="00D874B3" w:rsidRPr="001D204C">
        <w:lastRenderedPageBreak/>
        <w:t>make comparison more difficult because of differences in accounting regulations</w:t>
      </w:r>
      <w:r w:rsidR="00C51CE9">
        <w:t xml:space="preserve"> and f</w:t>
      </w:r>
      <w:r w:rsidR="00D874B3" w:rsidRPr="001D204C">
        <w:t xml:space="preserve">irms use varying accounting procedures. </w:t>
      </w:r>
      <w:r w:rsidR="005269A4">
        <w:t>Simply having different fiscal years makes comparison difficult.</w:t>
      </w:r>
      <w:r w:rsidR="00D874B3" w:rsidRPr="001D204C">
        <w:t xml:space="preserve"> </w:t>
      </w:r>
      <w:r w:rsidR="005269A4">
        <w:t xml:space="preserve">Lastly, extraordinary and one-time events can </w:t>
      </w:r>
      <w:r w:rsidR="000C14DB">
        <w:t>skew these ratios, rendering their results useless.</w:t>
      </w:r>
    </w:p>
    <w:p w14:paraId="2B773A1C" w14:textId="6FC4A5C0" w:rsidR="00C3343C" w:rsidRPr="00A9057C" w:rsidRDefault="00C3343C" w:rsidP="00326C1C">
      <w:pPr>
        <w:spacing w:line="480" w:lineRule="auto"/>
        <w:ind w:firstLine="360"/>
      </w:pPr>
      <w:r>
        <w:t xml:space="preserve">Another topic to consider when interpreting the results is selection bias. </w:t>
      </w:r>
      <w:r w:rsidR="00A84C16">
        <w:t xml:space="preserve">As was stated before, Glassdoor tries to minimize the bias by requiring all visitors who want to use the “Job Search” functionality to </w:t>
      </w:r>
      <w:r w:rsidR="00722996">
        <w:t xml:space="preserve">review </w:t>
      </w:r>
      <w:r w:rsidR="00F552ED">
        <w:t xml:space="preserve">a company they’ve interviewed or worked for. They also </w:t>
      </w:r>
      <w:r w:rsidR="00330D07">
        <w:t xml:space="preserve">ensure anonymity of reviews, so that people will post their honest responses. </w:t>
      </w:r>
      <w:r w:rsidR="00891CE5">
        <w:t xml:space="preserve">Of course, some selection bias may exist, as people who post ratings </w:t>
      </w:r>
      <w:r w:rsidR="00144381">
        <w:t xml:space="preserve">may be a select group of people who care about company culture more than the general population and want to either promote their company or smear them. </w:t>
      </w:r>
      <w:r w:rsidR="006D1F19">
        <w:t xml:space="preserve">Because it is more likely that people with strong emotions on either end of the spectrum may want </w:t>
      </w:r>
      <w:r w:rsidR="00657C36">
        <w:t>to post reviews, it is hard to say what the direction of the bias is</w:t>
      </w:r>
      <w:r w:rsidR="00A430A9">
        <w:t>.</w:t>
      </w:r>
      <w:r w:rsidR="009A48F0">
        <w:t xml:space="preserve"> </w:t>
      </w:r>
    </w:p>
    <w:p w14:paraId="2A5CC508" w14:textId="02C02328" w:rsidR="003276D6" w:rsidRPr="001D204C" w:rsidRDefault="003276D6" w:rsidP="00A9057C">
      <w:pPr>
        <w:pStyle w:val="ListParagraph"/>
        <w:numPr>
          <w:ilvl w:val="0"/>
          <w:numId w:val="2"/>
        </w:numPr>
        <w:spacing w:line="480" w:lineRule="auto"/>
        <w:jc w:val="center"/>
        <w:rPr>
          <w:b/>
          <w:bCs/>
        </w:rPr>
      </w:pPr>
      <w:r w:rsidRPr="001D204C">
        <w:rPr>
          <w:b/>
          <w:bCs/>
        </w:rPr>
        <w:t>Conclusion</w:t>
      </w:r>
    </w:p>
    <w:p w14:paraId="56908176" w14:textId="19922C5C" w:rsidR="00A9057C" w:rsidRDefault="00EF5C04" w:rsidP="00A9057C">
      <w:pPr>
        <w:spacing w:line="480" w:lineRule="auto"/>
      </w:pPr>
      <w:r w:rsidRPr="001D204C">
        <w:t>Overall,</w:t>
      </w:r>
      <w:r w:rsidR="00B70A5C">
        <w:t xml:space="preserve"> I find that CEO approval ratings are significant predictors in the financial industry for </w:t>
      </w:r>
      <w:r w:rsidR="00ED1DAB">
        <w:t>employee satisfaction</w:t>
      </w:r>
      <w:r w:rsidR="001249FE">
        <w:t>, confirming previous findings</w:t>
      </w:r>
      <w:r w:rsidR="008F45DD">
        <w:t xml:space="preserve">. Because this finding is consistent even when controlling for factors such as executive compensation, </w:t>
      </w:r>
      <w:r w:rsidR="00676F34">
        <w:t>companies should prioritize the quality of executives when hiring.</w:t>
      </w:r>
      <w:r w:rsidR="004C1946">
        <w:t xml:space="preserve"> </w:t>
      </w:r>
      <w:r w:rsidR="00676F34">
        <w:t>The</w:t>
      </w:r>
      <w:r w:rsidR="004C1946">
        <w:t xml:space="preserve"> magnitude of </w:t>
      </w:r>
      <w:r w:rsidR="00B14000">
        <w:t>the relationship between financial performance of employee satisfaction is essentially insignificant</w:t>
      </w:r>
      <w:r w:rsidR="00E5205F">
        <w:t xml:space="preserve"> in the finance industry</w:t>
      </w:r>
      <w:r w:rsidR="00B14000">
        <w:t xml:space="preserve">. </w:t>
      </w:r>
      <w:r w:rsidR="002D383D">
        <w:t>Th</w:t>
      </w:r>
      <w:r w:rsidR="00BA107A">
        <w:t xml:space="preserve">is contributes to the existing literature by </w:t>
      </w:r>
      <w:r w:rsidR="00B91E6D">
        <w:t xml:space="preserve">supporting that the positive relationship between firm performance and </w:t>
      </w:r>
      <w:r w:rsidR="00B11EB6">
        <w:t>employee satisfaction differs on an industry level</w:t>
      </w:r>
      <w:r w:rsidR="00E246DE">
        <w:t xml:space="preserve">. I encourage </w:t>
      </w:r>
      <w:r w:rsidR="00B255CE">
        <w:t xml:space="preserve">researchers to explore this relationship in other industries. </w:t>
      </w:r>
      <w:r w:rsidR="006C2431">
        <w:t>Going forward, f</w:t>
      </w:r>
      <w:r w:rsidR="0057792F">
        <w:t xml:space="preserve">inancial managers in financial firms should consider </w:t>
      </w:r>
      <w:r w:rsidR="00DA79DC">
        <w:t xml:space="preserve">investing in </w:t>
      </w:r>
      <w:r w:rsidR="003D6FE7">
        <w:t xml:space="preserve">company intangibles and optimizing their </w:t>
      </w:r>
      <w:r w:rsidR="00D7676F">
        <w:t>human resources department</w:t>
      </w:r>
      <w:r w:rsidR="00491558">
        <w:t>s.</w:t>
      </w:r>
    </w:p>
    <w:p w14:paraId="7080C2D3" w14:textId="77777777" w:rsidR="001326CC" w:rsidRPr="001D204C" w:rsidRDefault="001326CC" w:rsidP="00A9057C">
      <w:pPr>
        <w:spacing w:line="480" w:lineRule="auto"/>
      </w:pPr>
    </w:p>
    <w:p w14:paraId="7B81C21B" w14:textId="2FFE18DF" w:rsidR="00AF465B" w:rsidRPr="001169A4" w:rsidRDefault="00103A2C" w:rsidP="005C5FBD">
      <w:pPr>
        <w:pStyle w:val="ListParagraph"/>
        <w:numPr>
          <w:ilvl w:val="0"/>
          <w:numId w:val="2"/>
        </w:numPr>
        <w:spacing w:line="480" w:lineRule="auto"/>
        <w:jc w:val="center"/>
        <w:rPr>
          <w:b/>
          <w:bCs/>
        </w:rPr>
      </w:pPr>
      <w:r w:rsidRPr="001D204C">
        <w:rPr>
          <w:b/>
          <w:bCs/>
        </w:rPr>
        <w:lastRenderedPageBreak/>
        <w:t>References</w:t>
      </w:r>
    </w:p>
    <w:p w14:paraId="21412DD2" w14:textId="6F8D9394" w:rsidR="00DE2DD7" w:rsidRPr="001D204C" w:rsidRDefault="00DE2DD7" w:rsidP="005C5FBD">
      <w:r w:rsidRPr="001D204C">
        <w:rPr>
          <w:shd w:val="clear" w:color="auto" w:fill="FFFFFF"/>
        </w:rPr>
        <w:t>Barth, A. (2015). The Role of Corporate Culture in the Financial Industry.</w:t>
      </w:r>
      <w:r w:rsidR="00D40132" w:rsidRPr="001D204C">
        <w:rPr>
          <w:shd w:val="clear" w:color="auto" w:fill="FFFFFF"/>
        </w:rPr>
        <w:t xml:space="preserve"> </w:t>
      </w:r>
      <w:r w:rsidR="00D40132" w:rsidRPr="001D204C">
        <w:rPr>
          <w:i/>
          <w:iCs/>
          <w:shd w:val="clear" w:color="auto" w:fill="FFFFFF"/>
        </w:rPr>
        <w:t>Goethe University Frankfurt</w:t>
      </w:r>
      <w:r w:rsidR="00D40132" w:rsidRPr="001D204C">
        <w:rPr>
          <w:shd w:val="clear" w:color="auto" w:fill="FFFFFF"/>
        </w:rPr>
        <w:t>.</w:t>
      </w:r>
    </w:p>
    <w:p w14:paraId="5878684B" w14:textId="77777777" w:rsidR="00DE2DD7" w:rsidRPr="001D204C" w:rsidRDefault="00DE2DD7" w:rsidP="005C5FBD">
      <w:pPr>
        <w:rPr>
          <w:shd w:val="clear" w:color="auto" w:fill="FFFFFF"/>
        </w:rPr>
      </w:pPr>
    </w:p>
    <w:p w14:paraId="4F993732" w14:textId="4D5DC451" w:rsidR="000B4087" w:rsidRPr="001D204C" w:rsidRDefault="000B4087" w:rsidP="005C5FBD">
      <w:r w:rsidRPr="000B4087">
        <w:rPr>
          <w:shd w:val="clear" w:color="auto" w:fill="FFFFFF"/>
        </w:rPr>
        <w:t xml:space="preserve">Chamberlain, A. (2015). Does Company Culture Pay </w:t>
      </w:r>
      <w:proofErr w:type="gramStart"/>
      <w:r w:rsidRPr="000B4087">
        <w:rPr>
          <w:shd w:val="clear" w:color="auto" w:fill="FFFFFF"/>
        </w:rPr>
        <w:t>Off?.</w:t>
      </w:r>
      <w:proofErr w:type="gramEnd"/>
      <w:r w:rsidRPr="000B4087">
        <w:rPr>
          <w:shd w:val="clear" w:color="auto" w:fill="FFFFFF"/>
        </w:rPr>
        <w:t> </w:t>
      </w:r>
      <w:r w:rsidRPr="000B4087">
        <w:rPr>
          <w:i/>
          <w:iCs/>
          <w:shd w:val="clear" w:color="auto" w:fill="FFFFFF"/>
        </w:rPr>
        <w:t>Glassdoor, March</w:t>
      </w:r>
      <w:r w:rsidRPr="000B4087">
        <w:rPr>
          <w:shd w:val="clear" w:color="auto" w:fill="FFFFFF"/>
        </w:rPr>
        <w:t>.</w:t>
      </w:r>
    </w:p>
    <w:p w14:paraId="0BCB5FFE" w14:textId="0D1FD9C7" w:rsidR="000B4087" w:rsidRPr="001D204C" w:rsidRDefault="000B4087" w:rsidP="005C5FBD">
      <w:pPr>
        <w:rPr>
          <w:shd w:val="clear" w:color="auto" w:fill="FFFFFF"/>
          <w:lang w:val="fr-FR"/>
        </w:rPr>
      </w:pPr>
    </w:p>
    <w:p w14:paraId="19F24D49" w14:textId="5B199972" w:rsidR="000B4087" w:rsidRPr="001D204C" w:rsidRDefault="000B4087" w:rsidP="005C5FBD">
      <w:r w:rsidRPr="000B4087">
        <w:rPr>
          <w:shd w:val="clear" w:color="auto" w:fill="FFFFFF"/>
        </w:rPr>
        <w:t xml:space="preserve">Chamberlain, A., &amp; Huang, R. (2016). What makes a great </w:t>
      </w:r>
      <w:proofErr w:type="gramStart"/>
      <w:r w:rsidRPr="000B4087">
        <w:rPr>
          <w:shd w:val="clear" w:color="auto" w:fill="FFFFFF"/>
        </w:rPr>
        <w:t>CEO?.</w:t>
      </w:r>
      <w:proofErr w:type="gramEnd"/>
      <w:r w:rsidRPr="000B4087">
        <w:rPr>
          <w:shd w:val="clear" w:color="auto" w:fill="FFFFFF"/>
        </w:rPr>
        <w:t> </w:t>
      </w:r>
      <w:r w:rsidRPr="000B4087">
        <w:rPr>
          <w:i/>
          <w:iCs/>
          <w:shd w:val="clear" w:color="auto" w:fill="FFFFFF"/>
        </w:rPr>
        <w:t>Glassdoor Economic Research</w:t>
      </w:r>
      <w:r w:rsidRPr="000B4087">
        <w:rPr>
          <w:shd w:val="clear" w:color="auto" w:fill="FFFFFF"/>
        </w:rPr>
        <w:t>.</w:t>
      </w:r>
    </w:p>
    <w:p w14:paraId="7A398E95" w14:textId="77777777" w:rsidR="000B4087" w:rsidRPr="001D204C" w:rsidRDefault="000B4087" w:rsidP="005C5FBD">
      <w:pPr>
        <w:rPr>
          <w:shd w:val="clear" w:color="auto" w:fill="FFFFFF"/>
          <w:lang w:val="fr-FR"/>
        </w:rPr>
      </w:pPr>
    </w:p>
    <w:p w14:paraId="46163627" w14:textId="2E6C4CCF" w:rsidR="005C5FBD" w:rsidRPr="001D204C" w:rsidRDefault="005C5FBD" w:rsidP="005C5FBD">
      <w:r w:rsidRPr="005C5FBD">
        <w:rPr>
          <w:shd w:val="clear" w:color="auto" w:fill="FFFFFF"/>
          <w:lang w:val="fr-FR"/>
        </w:rPr>
        <w:t xml:space="preserve">Huang, M., Li, P., </w:t>
      </w:r>
      <w:proofErr w:type="spellStart"/>
      <w:r w:rsidRPr="005C5FBD">
        <w:rPr>
          <w:shd w:val="clear" w:color="auto" w:fill="FFFFFF"/>
          <w:lang w:val="fr-FR"/>
        </w:rPr>
        <w:t>Meschke</w:t>
      </w:r>
      <w:proofErr w:type="spellEnd"/>
      <w:r w:rsidRPr="005C5FBD">
        <w:rPr>
          <w:shd w:val="clear" w:color="auto" w:fill="FFFFFF"/>
          <w:lang w:val="fr-FR"/>
        </w:rPr>
        <w:t xml:space="preserve">, F., &amp; </w:t>
      </w:r>
      <w:proofErr w:type="spellStart"/>
      <w:r w:rsidRPr="005C5FBD">
        <w:rPr>
          <w:shd w:val="clear" w:color="auto" w:fill="FFFFFF"/>
          <w:lang w:val="fr-FR"/>
        </w:rPr>
        <w:t>Guthrie</w:t>
      </w:r>
      <w:proofErr w:type="spellEnd"/>
      <w:r w:rsidRPr="005C5FBD">
        <w:rPr>
          <w:shd w:val="clear" w:color="auto" w:fill="FFFFFF"/>
          <w:lang w:val="fr-FR"/>
        </w:rPr>
        <w:t xml:space="preserve">, J. P. (2015). </w:t>
      </w:r>
      <w:r w:rsidRPr="005C5FBD">
        <w:rPr>
          <w:shd w:val="clear" w:color="auto" w:fill="FFFFFF"/>
        </w:rPr>
        <w:t>Family firms, employee satisfaction, and corporate performance. </w:t>
      </w:r>
      <w:r w:rsidRPr="005C5FBD">
        <w:rPr>
          <w:i/>
          <w:iCs/>
          <w:shd w:val="clear" w:color="auto" w:fill="FFFFFF"/>
        </w:rPr>
        <w:t>Journal of Corporate Finance</w:t>
      </w:r>
      <w:r w:rsidRPr="005C5FBD">
        <w:rPr>
          <w:shd w:val="clear" w:color="auto" w:fill="FFFFFF"/>
        </w:rPr>
        <w:t>, </w:t>
      </w:r>
      <w:r w:rsidRPr="005C5FBD">
        <w:rPr>
          <w:i/>
          <w:iCs/>
          <w:shd w:val="clear" w:color="auto" w:fill="FFFFFF"/>
        </w:rPr>
        <w:t>34</w:t>
      </w:r>
      <w:r w:rsidRPr="005C5FBD">
        <w:rPr>
          <w:shd w:val="clear" w:color="auto" w:fill="FFFFFF"/>
        </w:rPr>
        <w:t>, 108-127.</w:t>
      </w:r>
    </w:p>
    <w:p w14:paraId="54A1D504" w14:textId="77777777" w:rsidR="005C5FBD" w:rsidRPr="001D204C" w:rsidRDefault="005C5FBD" w:rsidP="00AF465B">
      <w:pPr>
        <w:rPr>
          <w:shd w:val="clear" w:color="auto" w:fill="FFFFFF"/>
        </w:rPr>
      </w:pPr>
    </w:p>
    <w:p w14:paraId="6C720CA3" w14:textId="1BBA497C" w:rsidR="00AF465B" w:rsidRPr="001D204C" w:rsidRDefault="00AF465B" w:rsidP="00AF465B">
      <w:r w:rsidRPr="001D204C">
        <w:rPr>
          <w:shd w:val="clear" w:color="auto" w:fill="FFFFFF"/>
        </w:rPr>
        <w:t xml:space="preserve">Ji, Y., </w:t>
      </w:r>
      <w:proofErr w:type="spellStart"/>
      <w:r w:rsidRPr="001D204C">
        <w:rPr>
          <w:shd w:val="clear" w:color="auto" w:fill="FFFFFF"/>
        </w:rPr>
        <w:t>Rozenbaum</w:t>
      </w:r>
      <w:proofErr w:type="spellEnd"/>
      <w:r w:rsidRPr="001D204C">
        <w:rPr>
          <w:shd w:val="clear" w:color="auto" w:fill="FFFFFF"/>
        </w:rPr>
        <w:t xml:space="preserve">, O., &amp; Welch, K. T. (2017). Corporate culture and financial reporting risk: Looking through the </w:t>
      </w:r>
      <w:proofErr w:type="spellStart"/>
      <w:r w:rsidRPr="001D204C">
        <w:rPr>
          <w:shd w:val="clear" w:color="auto" w:fill="FFFFFF"/>
        </w:rPr>
        <w:t>glassdoor</w:t>
      </w:r>
      <w:proofErr w:type="spellEnd"/>
      <w:r w:rsidRPr="001D204C">
        <w:rPr>
          <w:shd w:val="clear" w:color="auto" w:fill="FFFFFF"/>
        </w:rPr>
        <w:t>. </w:t>
      </w:r>
      <w:r w:rsidRPr="001D204C">
        <w:rPr>
          <w:i/>
          <w:iCs/>
          <w:shd w:val="clear" w:color="auto" w:fill="FFFFFF"/>
        </w:rPr>
        <w:t>Available at SSRN 2945745</w:t>
      </w:r>
      <w:r w:rsidRPr="001D204C">
        <w:rPr>
          <w:shd w:val="clear" w:color="auto" w:fill="FFFFFF"/>
        </w:rPr>
        <w:t>.</w:t>
      </w:r>
    </w:p>
    <w:p w14:paraId="78D989C4" w14:textId="142D7A94" w:rsidR="000B4087" w:rsidRPr="001D204C" w:rsidRDefault="000B4087" w:rsidP="000B4087"/>
    <w:p w14:paraId="2FC43258" w14:textId="1755FDE4" w:rsidR="00690BAC" w:rsidRPr="001D204C" w:rsidRDefault="00690BAC" w:rsidP="000B4087">
      <w:r w:rsidRPr="001D204C">
        <w:t xml:space="preserve">Kelly, K., Silver-Greenberg, J. (2020, April). A Wall Street Bank’s Hard-Driving Culture Pushes Traders </w:t>
      </w:r>
      <w:proofErr w:type="gramStart"/>
      <w:r w:rsidRPr="001D204C">
        <w:t>Into</w:t>
      </w:r>
      <w:proofErr w:type="gramEnd"/>
      <w:r w:rsidRPr="001D204C">
        <w:t xml:space="preserve"> the Office. </w:t>
      </w:r>
      <w:r w:rsidRPr="001D204C">
        <w:rPr>
          <w:i/>
          <w:iCs/>
        </w:rPr>
        <w:t xml:space="preserve">The New York Times, </w:t>
      </w:r>
      <w:r w:rsidRPr="001D204C">
        <w:t xml:space="preserve">Retrieved from </w:t>
      </w:r>
      <w:hyperlink r:id="rId17" w:history="1">
        <w:r w:rsidRPr="001D204C">
          <w:rPr>
            <w:color w:val="0000FF"/>
            <w:u w:val="single"/>
          </w:rPr>
          <w:t>https://www.nytimes.com/2020/04/09/business/coronvirus-bank-of-america-workers.html</w:t>
        </w:r>
      </w:hyperlink>
    </w:p>
    <w:p w14:paraId="76AA97DD" w14:textId="77777777" w:rsidR="00690BAC" w:rsidRPr="001D204C" w:rsidRDefault="00690BAC" w:rsidP="000B4087"/>
    <w:p w14:paraId="43501B9F" w14:textId="552C1700" w:rsidR="00942DD5" w:rsidRPr="001D204C" w:rsidRDefault="00942DD5" w:rsidP="000B4087">
      <w:proofErr w:type="spellStart"/>
      <w:r w:rsidRPr="00942DD5">
        <w:rPr>
          <w:shd w:val="clear" w:color="auto" w:fill="FFFFFF"/>
        </w:rPr>
        <w:t>Khavis</w:t>
      </w:r>
      <w:proofErr w:type="spellEnd"/>
      <w:r w:rsidRPr="00942DD5">
        <w:rPr>
          <w:shd w:val="clear" w:color="auto" w:fill="FFFFFF"/>
        </w:rPr>
        <w:t>, J., &amp; Krishnan, J. (2017). Employee satisfaction in accounting firms, work-life balance, turnover, and audit quality. </w:t>
      </w:r>
      <w:r w:rsidRPr="00942DD5">
        <w:rPr>
          <w:i/>
          <w:iCs/>
          <w:shd w:val="clear" w:color="auto" w:fill="FFFFFF"/>
        </w:rPr>
        <w:t>Work-Life Balance, Turnover, and Audit Quality (December 21, 2017)</w:t>
      </w:r>
      <w:r w:rsidRPr="00942DD5">
        <w:rPr>
          <w:shd w:val="clear" w:color="auto" w:fill="FFFFFF"/>
        </w:rPr>
        <w:t>.</w:t>
      </w:r>
    </w:p>
    <w:p w14:paraId="0D6EA0CF" w14:textId="77777777" w:rsidR="00942DD5" w:rsidRPr="001D204C" w:rsidRDefault="00942DD5" w:rsidP="000B4087"/>
    <w:p w14:paraId="68CE2554" w14:textId="74639D60" w:rsidR="003B460D" w:rsidRPr="001D204C" w:rsidRDefault="003B460D" w:rsidP="000B4087">
      <w:r w:rsidRPr="003B460D">
        <w:rPr>
          <w:shd w:val="clear" w:color="auto" w:fill="FFFFFF"/>
        </w:rPr>
        <w:t xml:space="preserve">Landers, R. N., </w:t>
      </w:r>
      <w:proofErr w:type="spellStart"/>
      <w:r w:rsidRPr="003B460D">
        <w:rPr>
          <w:shd w:val="clear" w:color="auto" w:fill="FFFFFF"/>
        </w:rPr>
        <w:t>Brusso</w:t>
      </w:r>
      <w:proofErr w:type="spellEnd"/>
      <w:r w:rsidRPr="003B460D">
        <w:rPr>
          <w:shd w:val="clear" w:color="auto" w:fill="FFFFFF"/>
        </w:rPr>
        <w:t>, R. C., &amp; Auer, E. M. (2019). Crowdsourcing Job Satisfaction Data: Examining the Construct Validity of Glassdoor. com Ratings. </w:t>
      </w:r>
      <w:r w:rsidRPr="003B460D">
        <w:rPr>
          <w:i/>
          <w:iCs/>
          <w:shd w:val="clear" w:color="auto" w:fill="FFFFFF"/>
        </w:rPr>
        <w:t>Personnel Assessment and Decisions</w:t>
      </w:r>
      <w:r w:rsidRPr="003B460D">
        <w:rPr>
          <w:shd w:val="clear" w:color="auto" w:fill="FFFFFF"/>
        </w:rPr>
        <w:t>, </w:t>
      </w:r>
      <w:r w:rsidRPr="003B460D">
        <w:rPr>
          <w:i/>
          <w:iCs/>
          <w:shd w:val="clear" w:color="auto" w:fill="FFFFFF"/>
        </w:rPr>
        <w:t>5</w:t>
      </w:r>
      <w:r w:rsidRPr="003B460D">
        <w:rPr>
          <w:shd w:val="clear" w:color="auto" w:fill="FFFFFF"/>
        </w:rPr>
        <w:t>(3), 6.</w:t>
      </w:r>
    </w:p>
    <w:p w14:paraId="5431E30B" w14:textId="77777777" w:rsidR="003B460D" w:rsidRPr="001D204C" w:rsidRDefault="003B460D" w:rsidP="000B4087"/>
    <w:p w14:paraId="29429FEE" w14:textId="77777777" w:rsidR="000B4087" w:rsidRPr="000B4087" w:rsidRDefault="000B4087" w:rsidP="000B4087">
      <w:proofErr w:type="spellStart"/>
      <w:r w:rsidRPr="000B4087">
        <w:rPr>
          <w:shd w:val="clear" w:color="auto" w:fill="FFFFFF"/>
        </w:rPr>
        <w:t>Melián</w:t>
      </w:r>
      <w:proofErr w:type="spellEnd"/>
      <w:r w:rsidRPr="000B4087">
        <w:rPr>
          <w:shd w:val="clear" w:color="auto" w:fill="FFFFFF"/>
        </w:rPr>
        <w:t xml:space="preserve">-González, S., </w:t>
      </w:r>
      <w:proofErr w:type="spellStart"/>
      <w:r w:rsidRPr="000B4087">
        <w:rPr>
          <w:shd w:val="clear" w:color="auto" w:fill="FFFFFF"/>
        </w:rPr>
        <w:t>Bulchand-Gidumal</w:t>
      </w:r>
      <w:proofErr w:type="spellEnd"/>
      <w:r w:rsidRPr="000B4087">
        <w:rPr>
          <w:shd w:val="clear" w:color="auto" w:fill="FFFFFF"/>
        </w:rPr>
        <w:t>, J., &amp; López-</w:t>
      </w:r>
      <w:proofErr w:type="spellStart"/>
      <w:r w:rsidRPr="000B4087">
        <w:rPr>
          <w:shd w:val="clear" w:color="auto" w:fill="FFFFFF"/>
        </w:rPr>
        <w:t>Valcárcel</w:t>
      </w:r>
      <w:proofErr w:type="spellEnd"/>
      <w:r w:rsidRPr="000B4087">
        <w:rPr>
          <w:shd w:val="clear" w:color="auto" w:fill="FFFFFF"/>
        </w:rPr>
        <w:t>, B. G. (2015). New evidence of the relationship between employee satisfaction and firm economic performance. </w:t>
      </w:r>
      <w:r w:rsidRPr="000B4087">
        <w:rPr>
          <w:i/>
          <w:iCs/>
          <w:shd w:val="clear" w:color="auto" w:fill="FFFFFF"/>
        </w:rPr>
        <w:t>Personnel Review</w:t>
      </w:r>
      <w:r w:rsidRPr="000B4087">
        <w:rPr>
          <w:color w:val="222222"/>
          <w:shd w:val="clear" w:color="auto" w:fill="FFFFFF"/>
        </w:rPr>
        <w:t>.</w:t>
      </w:r>
    </w:p>
    <w:p w14:paraId="76086CE9" w14:textId="63297CC8" w:rsidR="000B4087" w:rsidRPr="001D204C" w:rsidRDefault="000B4087" w:rsidP="000B4087"/>
    <w:p w14:paraId="5A00F85A" w14:textId="77777777" w:rsidR="006B746A" w:rsidRPr="001D204C" w:rsidRDefault="006B746A" w:rsidP="006B746A">
      <w:pPr>
        <w:pStyle w:val="NormalWeb"/>
        <w:spacing w:before="0" w:beforeAutospacing="0" w:after="0" w:afterAutospacing="0"/>
      </w:pPr>
      <w:r w:rsidRPr="001D204C">
        <w:rPr>
          <w:shd w:val="clear" w:color="auto" w:fill="FFFFFF"/>
        </w:rPr>
        <w:t xml:space="preserve">Nunes, K. (2020, February 13). Kraft Heinz Co. seeking greater stability in fiscal 2020. </w:t>
      </w:r>
      <w:r w:rsidRPr="001D204C">
        <w:rPr>
          <w:i/>
          <w:iCs/>
        </w:rPr>
        <w:t>Food </w:t>
      </w:r>
    </w:p>
    <w:p w14:paraId="6F7521E8" w14:textId="693147A9" w:rsidR="006B746A" w:rsidRPr="001D204C" w:rsidRDefault="006B746A" w:rsidP="006B746A">
      <w:pPr>
        <w:pStyle w:val="NormalWeb"/>
        <w:spacing w:before="0" w:beforeAutospacing="0" w:after="0" w:afterAutospacing="0"/>
      </w:pPr>
      <w:r w:rsidRPr="001D204C">
        <w:rPr>
          <w:i/>
          <w:iCs/>
        </w:rPr>
        <w:t>Business News</w:t>
      </w:r>
      <w:r w:rsidRPr="001D204C">
        <w:rPr>
          <w:shd w:val="clear" w:color="auto" w:fill="FFFFFF"/>
        </w:rPr>
        <w:t>. Retrieved from </w:t>
      </w:r>
      <w:r w:rsidRPr="001D204C">
        <w:rPr>
          <w:shd w:val="clear" w:color="auto" w:fill="FFFFFF"/>
        </w:rPr>
        <w:fldChar w:fldCharType="begin"/>
      </w:r>
      <w:r w:rsidRPr="001D204C">
        <w:rPr>
          <w:shd w:val="clear" w:color="auto" w:fill="FFFFFF"/>
        </w:rPr>
        <w:instrText xml:space="preserve"> HYPERLINK "</w:instrText>
      </w:r>
      <w:r w:rsidRPr="001D204C">
        <w:rPr>
          <w:shd w:val="clear" w:color="auto" w:fill="FFFFFF"/>
        </w:rPr>
        <w:instrText>https://www.foodbusinessnews.net/articles/15419-kraft-heinz-co-seeking-greater-stability</w:instrText>
      </w:r>
      <w:r w:rsidRPr="001D204C">
        <w:rPr>
          <w:shd w:val="clear" w:color="auto" w:fill="FFFFFF"/>
        </w:rPr>
        <w:instrText xml:space="preserve">" </w:instrText>
      </w:r>
      <w:r w:rsidRPr="001D204C">
        <w:rPr>
          <w:shd w:val="clear" w:color="auto" w:fill="FFFFFF"/>
        </w:rPr>
        <w:fldChar w:fldCharType="separate"/>
      </w:r>
      <w:r w:rsidRPr="001D204C">
        <w:rPr>
          <w:rStyle w:val="Hyperlink"/>
          <w:shd w:val="clear" w:color="auto" w:fill="FFFFFF"/>
        </w:rPr>
        <w:t>https://www.foodbusinessnews.net/articles/15419-kraft-heinz-co-seeking-greater-stability</w:t>
      </w:r>
      <w:r w:rsidRPr="001D204C">
        <w:rPr>
          <w:shd w:val="clear" w:color="auto" w:fill="FFFFFF"/>
        </w:rPr>
        <w:fldChar w:fldCharType="end"/>
      </w:r>
      <w:hyperlink r:id="rId18" w:history="1">
        <w:r w:rsidRPr="001D204C">
          <w:rPr>
            <w:rStyle w:val="Hyperlink"/>
            <w:color w:val="1155CC"/>
            <w:shd w:val="clear" w:color="auto" w:fill="FFFFFF"/>
          </w:rPr>
          <w:t>-in-fiscal-2020</w:t>
        </w:r>
      </w:hyperlink>
      <w:r w:rsidRPr="001D204C">
        <w:rPr>
          <w:color w:val="333333"/>
          <w:shd w:val="clear" w:color="auto" w:fill="FFFFFF"/>
        </w:rPr>
        <w:t xml:space="preserve"> </w:t>
      </w:r>
    </w:p>
    <w:p w14:paraId="2DBDBDDC" w14:textId="77777777" w:rsidR="006B746A" w:rsidRPr="001D204C" w:rsidRDefault="006B746A" w:rsidP="000B4087"/>
    <w:p w14:paraId="4E450C2E" w14:textId="03D4D0D5" w:rsidR="001C4E00" w:rsidRPr="001D204C" w:rsidRDefault="001C4E00" w:rsidP="006305E1">
      <w:pPr>
        <w:pStyle w:val="NormalWeb"/>
        <w:spacing w:before="0" w:beforeAutospacing="0" w:after="0" w:afterAutospacing="0"/>
      </w:pPr>
      <w:r w:rsidRPr="001D204C">
        <w:rPr>
          <w:shd w:val="clear" w:color="auto" w:fill="FFFFFF"/>
        </w:rPr>
        <w:t xml:space="preserve">Silver-Greenberg, J., &amp; </w:t>
      </w:r>
      <w:proofErr w:type="spellStart"/>
      <w:r w:rsidRPr="001D204C">
        <w:rPr>
          <w:shd w:val="clear" w:color="auto" w:fill="FFFFFF"/>
        </w:rPr>
        <w:t>Kitroeff</w:t>
      </w:r>
      <w:proofErr w:type="spellEnd"/>
      <w:r w:rsidRPr="001D204C">
        <w:rPr>
          <w:shd w:val="clear" w:color="auto" w:fill="FFFFFF"/>
        </w:rPr>
        <w:t xml:space="preserve">, N. (2020, March 2). How Bloomberg Buys the Silence of Unhappy Employees. </w:t>
      </w:r>
      <w:r w:rsidRPr="001D204C">
        <w:rPr>
          <w:i/>
          <w:iCs/>
        </w:rPr>
        <w:t>The New York Times</w:t>
      </w:r>
      <w:r w:rsidRPr="001D204C">
        <w:rPr>
          <w:shd w:val="clear" w:color="auto" w:fill="FFFFFF"/>
        </w:rPr>
        <w:t>. Retrieved</w:t>
      </w:r>
      <w:r w:rsidR="001169A4">
        <w:rPr>
          <w:shd w:val="clear" w:color="auto" w:fill="FFFFFF"/>
        </w:rPr>
        <w:t xml:space="preserve"> </w:t>
      </w:r>
      <w:r w:rsidRPr="001D204C">
        <w:rPr>
          <w:shd w:val="clear" w:color="auto" w:fill="FFFFFF"/>
        </w:rPr>
        <w:t>from </w:t>
      </w:r>
      <w:hyperlink r:id="rId19" w:history="1">
        <w:r w:rsidR="00624F95" w:rsidRPr="001D204C">
          <w:rPr>
            <w:rStyle w:val="Hyperlink"/>
            <w:shd w:val="clear" w:color="auto" w:fill="FFFFFF"/>
          </w:rPr>
          <w:t>https://www.nytimes.com/2020/03/02/business/michael-bloomberg-nda.html</w:t>
        </w:r>
      </w:hyperlink>
      <w:r w:rsidRPr="001D204C">
        <w:rPr>
          <w:color w:val="333333"/>
          <w:shd w:val="clear" w:color="auto" w:fill="FFFFFF"/>
        </w:rPr>
        <w:t> </w:t>
      </w:r>
    </w:p>
    <w:p w14:paraId="4454A536" w14:textId="77777777" w:rsidR="001C4E00" w:rsidRPr="001D204C" w:rsidRDefault="001C4E00" w:rsidP="000B4087">
      <w:pPr>
        <w:rPr>
          <w:color w:val="222222"/>
          <w:shd w:val="clear" w:color="auto" w:fill="FFFFFF"/>
        </w:rPr>
      </w:pPr>
    </w:p>
    <w:p w14:paraId="61783BE4" w14:textId="1BB372BA" w:rsidR="003B460D" w:rsidRPr="001D204C" w:rsidRDefault="003B460D" w:rsidP="000B4087">
      <w:r w:rsidRPr="003B460D">
        <w:rPr>
          <w:shd w:val="clear" w:color="auto" w:fill="FFFFFF"/>
        </w:rPr>
        <w:t xml:space="preserve">Swain, V. D., </w:t>
      </w:r>
      <w:proofErr w:type="spellStart"/>
      <w:r w:rsidRPr="003B460D">
        <w:rPr>
          <w:shd w:val="clear" w:color="auto" w:fill="FFFFFF"/>
        </w:rPr>
        <w:t>Saha</w:t>
      </w:r>
      <w:proofErr w:type="spellEnd"/>
      <w:r w:rsidRPr="003B460D">
        <w:rPr>
          <w:shd w:val="clear" w:color="auto" w:fill="FFFFFF"/>
        </w:rPr>
        <w:t xml:space="preserve">, K., Reddy, M. D., </w:t>
      </w:r>
      <w:proofErr w:type="spellStart"/>
      <w:r w:rsidRPr="003B460D">
        <w:rPr>
          <w:shd w:val="clear" w:color="auto" w:fill="FFFFFF"/>
        </w:rPr>
        <w:t>Rajvanshy</w:t>
      </w:r>
      <w:proofErr w:type="spellEnd"/>
      <w:r w:rsidRPr="003B460D">
        <w:rPr>
          <w:shd w:val="clear" w:color="auto" w:fill="FFFFFF"/>
        </w:rPr>
        <w:t xml:space="preserve">, H., Abowd, G. D., &amp; De Choudhury, M. Modeling organizational culture with workplace experiences shared on </w:t>
      </w:r>
      <w:proofErr w:type="spellStart"/>
      <w:r w:rsidRPr="003B460D">
        <w:rPr>
          <w:shd w:val="clear" w:color="auto" w:fill="FFFFFF"/>
        </w:rPr>
        <w:t>glassdoor</w:t>
      </w:r>
      <w:proofErr w:type="spellEnd"/>
      <w:r w:rsidRPr="003B460D">
        <w:rPr>
          <w:shd w:val="clear" w:color="auto" w:fill="FFFFFF"/>
        </w:rPr>
        <w:t>.</w:t>
      </w:r>
    </w:p>
    <w:p w14:paraId="49C1CB03" w14:textId="77777777" w:rsidR="003B460D" w:rsidRPr="001D204C" w:rsidRDefault="003B460D" w:rsidP="000B4087"/>
    <w:p w14:paraId="0E4E6FB9" w14:textId="1FD8FB38" w:rsidR="00887D70" w:rsidRPr="001D204C" w:rsidRDefault="000B4087" w:rsidP="000B4087">
      <w:pPr>
        <w:rPr>
          <w:shd w:val="clear" w:color="auto" w:fill="FFFFFF"/>
        </w:rPr>
      </w:pPr>
      <w:bookmarkStart w:id="0" w:name="OLE_LINK1"/>
      <w:bookmarkStart w:id="1" w:name="OLE_LINK2"/>
      <w:proofErr w:type="spellStart"/>
      <w:r w:rsidRPr="000B4087">
        <w:rPr>
          <w:shd w:val="clear" w:color="auto" w:fill="FFFFFF"/>
        </w:rPr>
        <w:t>Symitsi</w:t>
      </w:r>
      <w:proofErr w:type="spellEnd"/>
      <w:r w:rsidRPr="000B4087">
        <w:rPr>
          <w:shd w:val="clear" w:color="auto" w:fill="FFFFFF"/>
        </w:rPr>
        <w:t xml:space="preserve">, E., </w:t>
      </w:r>
      <w:proofErr w:type="spellStart"/>
      <w:r w:rsidRPr="000B4087">
        <w:rPr>
          <w:shd w:val="clear" w:color="auto" w:fill="FFFFFF"/>
        </w:rPr>
        <w:t>Stamolampros</w:t>
      </w:r>
      <w:proofErr w:type="spellEnd"/>
      <w:r w:rsidRPr="000B4087">
        <w:rPr>
          <w:shd w:val="clear" w:color="auto" w:fill="FFFFFF"/>
        </w:rPr>
        <w:t xml:space="preserve">, P., Daskalakis, G., &amp; </w:t>
      </w:r>
      <w:proofErr w:type="spellStart"/>
      <w:r w:rsidRPr="000B4087">
        <w:rPr>
          <w:shd w:val="clear" w:color="auto" w:fill="FFFFFF"/>
        </w:rPr>
        <w:t>Korfiatis</w:t>
      </w:r>
      <w:proofErr w:type="spellEnd"/>
      <w:r w:rsidRPr="000B4087">
        <w:rPr>
          <w:shd w:val="clear" w:color="auto" w:fill="FFFFFF"/>
        </w:rPr>
        <w:t>, N. (2018). Employee satisfaction and corporate performance in the UK. </w:t>
      </w:r>
      <w:r w:rsidRPr="000B4087">
        <w:rPr>
          <w:i/>
          <w:iCs/>
          <w:shd w:val="clear" w:color="auto" w:fill="FFFFFF"/>
        </w:rPr>
        <w:t>Available at SSRN 3140512</w:t>
      </w:r>
      <w:r w:rsidRPr="000B4087">
        <w:rPr>
          <w:shd w:val="clear" w:color="auto" w:fill="FFFFFF"/>
        </w:rPr>
        <w:t>.</w:t>
      </w:r>
      <w:bookmarkEnd w:id="0"/>
      <w:bookmarkEnd w:id="1"/>
    </w:p>
    <w:p w14:paraId="622A5042" w14:textId="0C55E7AB" w:rsidR="00EC0D0B" w:rsidRPr="001D204C" w:rsidRDefault="00EC0D0B" w:rsidP="000B4087">
      <w:pPr>
        <w:rPr>
          <w:shd w:val="clear" w:color="auto" w:fill="FFFFFF"/>
        </w:rPr>
      </w:pPr>
    </w:p>
    <w:p w14:paraId="56A54FFB" w14:textId="550DB812" w:rsidR="00EC0D0B" w:rsidRPr="001D204C" w:rsidRDefault="00EC0D0B" w:rsidP="000B4087">
      <w:pPr>
        <w:rPr>
          <w:shd w:val="clear" w:color="auto" w:fill="FFFFFF"/>
        </w:rPr>
      </w:pPr>
      <w:proofErr w:type="spellStart"/>
      <w:r w:rsidRPr="001D204C">
        <w:rPr>
          <w:shd w:val="clear" w:color="auto" w:fill="FFFFFF"/>
        </w:rPr>
        <w:lastRenderedPageBreak/>
        <w:t>Thakor</w:t>
      </w:r>
      <w:proofErr w:type="spellEnd"/>
      <w:r w:rsidRPr="001D204C">
        <w:rPr>
          <w:shd w:val="clear" w:color="auto" w:fill="FFFFFF"/>
        </w:rPr>
        <w:t>, A. V. (2015). Corporate culture in banking. </w:t>
      </w:r>
      <w:r w:rsidRPr="001D204C">
        <w:rPr>
          <w:i/>
          <w:iCs/>
          <w:shd w:val="clear" w:color="auto" w:fill="FFFFFF"/>
        </w:rPr>
        <w:t>Available at SSRN 2565514.</w:t>
      </w:r>
    </w:p>
    <w:sectPr w:rsidR="00EC0D0B" w:rsidRPr="001D204C" w:rsidSect="00486EBA">
      <w:headerReference w:type="even" r:id="rId20"/>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D347F" w14:textId="77777777" w:rsidR="00477123" w:rsidRDefault="00477123" w:rsidP="00951642">
      <w:r>
        <w:separator/>
      </w:r>
    </w:p>
  </w:endnote>
  <w:endnote w:type="continuationSeparator" w:id="0">
    <w:p w14:paraId="6E4837B2" w14:textId="77777777" w:rsidR="00477123" w:rsidRDefault="00477123" w:rsidP="00951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0000000000000000000"/>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97C3A" w14:textId="77777777" w:rsidR="00477123" w:rsidRDefault="00477123" w:rsidP="00951642">
      <w:r>
        <w:separator/>
      </w:r>
    </w:p>
  </w:footnote>
  <w:footnote w:type="continuationSeparator" w:id="0">
    <w:p w14:paraId="6D43B8A6" w14:textId="77777777" w:rsidR="00477123" w:rsidRDefault="00477123" w:rsidP="00951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7435959"/>
      <w:docPartObj>
        <w:docPartGallery w:val="Page Numbers (Top of Page)"/>
        <w:docPartUnique/>
      </w:docPartObj>
    </w:sdtPr>
    <w:sdtContent>
      <w:p w14:paraId="6FEFA6EE" w14:textId="5F689EC6" w:rsidR="00580EF5" w:rsidRDefault="00580EF5" w:rsidP="00580E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A786EB" w14:textId="77777777" w:rsidR="00580EF5" w:rsidRDefault="00580EF5" w:rsidP="00580E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0508898"/>
      <w:docPartObj>
        <w:docPartGallery w:val="Page Numbers (Top of Page)"/>
        <w:docPartUnique/>
      </w:docPartObj>
    </w:sdtPr>
    <w:sdtContent>
      <w:p w14:paraId="60CE2AEF" w14:textId="02232C25" w:rsidR="00580EF5" w:rsidRPr="00580EF5" w:rsidRDefault="00580EF5" w:rsidP="00580EF5">
        <w:pPr>
          <w:pStyle w:val="Header"/>
          <w:framePr w:wrap="none" w:vAnchor="text" w:hAnchor="margin" w:xAlign="right" w:y="1"/>
          <w:rPr>
            <w:rStyle w:val="PageNumber"/>
          </w:rPr>
        </w:pPr>
        <w:r w:rsidRPr="00580EF5">
          <w:rPr>
            <w:rStyle w:val="PageNumber"/>
          </w:rPr>
          <w:fldChar w:fldCharType="begin"/>
        </w:r>
        <w:r w:rsidRPr="00580EF5">
          <w:rPr>
            <w:rStyle w:val="PageNumber"/>
          </w:rPr>
          <w:instrText xml:space="preserve"> PAGE </w:instrText>
        </w:r>
        <w:r w:rsidRPr="00580EF5">
          <w:rPr>
            <w:rStyle w:val="PageNumber"/>
          </w:rPr>
          <w:fldChar w:fldCharType="separate"/>
        </w:r>
        <w:r w:rsidRPr="00580EF5">
          <w:rPr>
            <w:rStyle w:val="PageNumber"/>
            <w:noProof/>
          </w:rPr>
          <w:t>2</w:t>
        </w:r>
        <w:r w:rsidRPr="00580EF5">
          <w:rPr>
            <w:rStyle w:val="PageNumber"/>
          </w:rPr>
          <w:fldChar w:fldCharType="end"/>
        </w:r>
      </w:p>
    </w:sdtContent>
  </w:sdt>
  <w:p w14:paraId="77E6801F" w14:textId="333286F8" w:rsidR="00580EF5" w:rsidRPr="00580EF5" w:rsidRDefault="00580EF5" w:rsidP="00580EF5">
    <w:pPr>
      <w:pStyle w:val="Header"/>
      <w:ind w:right="360"/>
      <w:jc w:val="right"/>
    </w:pPr>
    <w:r w:rsidRPr="00580EF5">
      <w:t>Canaan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D6D58"/>
    <w:multiLevelType w:val="hybridMultilevel"/>
    <w:tmpl w:val="FDA0AFB4"/>
    <w:lvl w:ilvl="0" w:tplc="E3E8C7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F62D14"/>
    <w:multiLevelType w:val="hybridMultilevel"/>
    <w:tmpl w:val="82AC8AD8"/>
    <w:lvl w:ilvl="0" w:tplc="7EAAAC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D6"/>
    <w:rsid w:val="00004A47"/>
    <w:rsid w:val="00010DC5"/>
    <w:rsid w:val="00016901"/>
    <w:rsid w:val="00022268"/>
    <w:rsid w:val="00022415"/>
    <w:rsid w:val="00026E6B"/>
    <w:rsid w:val="00027E51"/>
    <w:rsid w:val="00034E82"/>
    <w:rsid w:val="0003595D"/>
    <w:rsid w:val="00042EE0"/>
    <w:rsid w:val="00045B75"/>
    <w:rsid w:val="00050A18"/>
    <w:rsid w:val="00057491"/>
    <w:rsid w:val="000655DB"/>
    <w:rsid w:val="0006669C"/>
    <w:rsid w:val="00066D6E"/>
    <w:rsid w:val="00067CDB"/>
    <w:rsid w:val="00074524"/>
    <w:rsid w:val="00074644"/>
    <w:rsid w:val="00076DFB"/>
    <w:rsid w:val="00085BD7"/>
    <w:rsid w:val="000941E1"/>
    <w:rsid w:val="000964BA"/>
    <w:rsid w:val="000978D2"/>
    <w:rsid w:val="000A092E"/>
    <w:rsid w:val="000B392D"/>
    <w:rsid w:val="000B4087"/>
    <w:rsid w:val="000C14DB"/>
    <w:rsid w:val="000C245B"/>
    <w:rsid w:val="000C394F"/>
    <w:rsid w:val="000C58E2"/>
    <w:rsid w:val="000D1878"/>
    <w:rsid w:val="000D4B18"/>
    <w:rsid w:val="000E21A4"/>
    <w:rsid w:val="000E4396"/>
    <w:rsid w:val="000E5732"/>
    <w:rsid w:val="000E6925"/>
    <w:rsid w:val="000F4D73"/>
    <w:rsid w:val="00101357"/>
    <w:rsid w:val="00103A2C"/>
    <w:rsid w:val="001078D5"/>
    <w:rsid w:val="001115D3"/>
    <w:rsid w:val="00112D74"/>
    <w:rsid w:val="00115E05"/>
    <w:rsid w:val="001169A4"/>
    <w:rsid w:val="00120A51"/>
    <w:rsid w:val="001243CC"/>
    <w:rsid w:val="001249FE"/>
    <w:rsid w:val="00125980"/>
    <w:rsid w:val="0012734D"/>
    <w:rsid w:val="001326CC"/>
    <w:rsid w:val="00134F26"/>
    <w:rsid w:val="00142B50"/>
    <w:rsid w:val="00144381"/>
    <w:rsid w:val="00145498"/>
    <w:rsid w:val="00150AB2"/>
    <w:rsid w:val="00152DA8"/>
    <w:rsid w:val="00153E8B"/>
    <w:rsid w:val="00154509"/>
    <w:rsid w:val="00157731"/>
    <w:rsid w:val="001604FC"/>
    <w:rsid w:val="001645A2"/>
    <w:rsid w:val="001710A6"/>
    <w:rsid w:val="0017299F"/>
    <w:rsid w:val="00184F8D"/>
    <w:rsid w:val="00184FEA"/>
    <w:rsid w:val="0018701D"/>
    <w:rsid w:val="00197DC2"/>
    <w:rsid w:val="001A0C97"/>
    <w:rsid w:val="001A3265"/>
    <w:rsid w:val="001A374B"/>
    <w:rsid w:val="001A76B5"/>
    <w:rsid w:val="001B102B"/>
    <w:rsid w:val="001C4E00"/>
    <w:rsid w:val="001C595B"/>
    <w:rsid w:val="001D204C"/>
    <w:rsid w:val="001D55F8"/>
    <w:rsid w:val="001E14B4"/>
    <w:rsid w:val="001E1B31"/>
    <w:rsid w:val="001E26B1"/>
    <w:rsid w:val="001E3DDD"/>
    <w:rsid w:val="001E74A2"/>
    <w:rsid w:val="001F0816"/>
    <w:rsid w:val="001F50F4"/>
    <w:rsid w:val="00205889"/>
    <w:rsid w:val="00213B12"/>
    <w:rsid w:val="00224E1A"/>
    <w:rsid w:val="002250FD"/>
    <w:rsid w:val="002276AA"/>
    <w:rsid w:val="002317A5"/>
    <w:rsid w:val="002319AC"/>
    <w:rsid w:val="00236595"/>
    <w:rsid w:val="00241263"/>
    <w:rsid w:val="00241FA7"/>
    <w:rsid w:val="00242E0D"/>
    <w:rsid w:val="00254194"/>
    <w:rsid w:val="00270415"/>
    <w:rsid w:val="00271B90"/>
    <w:rsid w:val="002728A6"/>
    <w:rsid w:val="00277885"/>
    <w:rsid w:val="00281997"/>
    <w:rsid w:val="00281A1D"/>
    <w:rsid w:val="00286F1D"/>
    <w:rsid w:val="002911EC"/>
    <w:rsid w:val="00294FD5"/>
    <w:rsid w:val="002976A9"/>
    <w:rsid w:val="002A58D3"/>
    <w:rsid w:val="002B6D0E"/>
    <w:rsid w:val="002B76FE"/>
    <w:rsid w:val="002C3879"/>
    <w:rsid w:val="002C55D4"/>
    <w:rsid w:val="002C77F9"/>
    <w:rsid w:val="002D383D"/>
    <w:rsid w:val="002E79F3"/>
    <w:rsid w:val="00305400"/>
    <w:rsid w:val="00306DD5"/>
    <w:rsid w:val="003269B8"/>
    <w:rsid w:val="00326C1C"/>
    <w:rsid w:val="0032762C"/>
    <w:rsid w:val="00327688"/>
    <w:rsid w:val="003276D6"/>
    <w:rsid w:val="00330D07"/>
    <w:rsid w:val="003336E1"/>
    <w:rsid w:val="00340E93"/>
    <w:rsid w:val="003412D4"/>
    <w:rsid w:val="003413FC"/>
    <w:rsid w:val="00341C32"/>
    <w:rsid w:val="00343C5F"/>
    <w:rsid w:val="0034676D"/>
    <w:rsid w:val="003524A7"/>
    <w:rsid w:val="003536DD"/>
    <w:rsid w:val="00353E50"/>
    <w:rsid w:val="003724B6"/>
    <w:rsid w:val="0037759F"/>
    <w:rsid w:val="00382A25"/>
    <w:rsid w:val="0038750A"/>
    <w:rsid w:val="00391074"/>
    <w:rsid w:val="003A193C"/>
    <w:rsid w:val="003A2831"/>
    <w:rsid w:val="003A4CA3"/>
    <w:rsid w:val="003A7040"/>
    <w:rsid w:val="003B0E65"/>
    <w:rsid w:val="003B460D"/>
    <w:rsid w:val="003C1D3A"/>
    <w:rsid w:val="003C3505"/>
    <w:rsid w:val="003C5028"/>
    <w:rsid w:val="003D4E30"/>
    <w:rsid w:val="003D6FE7"/>
    <w:rsid w:val="003D786A"/>
    <w:rsid w:val="003F0975"/>
    <w:rsid w:val="003F4C4A"/>
    <w:rsid w:val="00403E51"/>
    <w:rsid w:val="004045FB"/>
    <w:rsid w:val="00406BB9"/>
    <w:rsid w:val="00411785"/>
    <w:rsid w:val="00412512"/>
    <w:rsid w:val="00413F72"/>
    <w:rsid w:val="004168A8"/>
    <w:rsid w:val="00422733"/>
    <w:rsid w:val="00422940"/>
    <w:rsid w:val="00423716"/>
    <w:rsid w:val="004252E1"/>
    <w:rsid w:val="00426036"/>
    <w:rsid w:val="004261B9"/>
    <w:rsid w:val="004269EA"/>
    <w:rsid w:val="0042715F"/>
    <w:rsid w:val="004339B5"/>
    <w:rsid w:val="00434B7F"/>
    <w:rsid w:val="00435104"/>
    <w:rsid w:val="00436F31"/>
    <w:rsid w:val="00441139"/>
    <w:rsid w:val="0044635E"/>
    <w:rsid w:val="00452321"/>
    <w:rsid w:val="00452572"/>
    <w:rsid w:val="0045319F"/>
    <w:rsid w:val="00453E99"/>
    <w:rsid w:val="00456C70"/>
    <w:rsid w:val="00460A1A"/>
    <w:rsid w:val="00460B10"/>
    <w:rsid w:val="00471969"/>
    <w:rsid w:val="004751AB"/>
    <w:rsid w:val="00477123"/>
    <w:rsid w:val="00477A2B"/>
    <w:rsid w:val="00477FFD"/>
    <w:rsid w:val="00480F1B"/>
    <w:rsid w:val="00483223"/>
    <w:rsid w:val="004869E3"/>
    <w:rsid w:val="00486EBA"/>
    <w:rsid w:val="00491558"/>
    <w:rsid w:val="00491F49"/>
    <w:rsid w:val="00495514"/>
    <w:rsid w:val="0049593E"/>
    <w:rsid w:val="004A2225"/>
    <w:rsid w:val="004A57D2"/>
    <w:rsid w:val="004A59B4"/>
    <w:rsid w:val="004A5BBC"/>
    <w:rsid w:val="004B3F4B"/>
    <w:rsid w:val="004B43CF"/>
    <w:rsid w:val="004B72EC"/>
    <w:rsid w:val="004C1946"/>
    <w:rsid w:val="004C3A4D"/>
    <w:rsid w:val="004C3E6D"/>
    <w:rsid w:val="004C6109"/>
    <w:rsid w:val="004C66A4"/>
    <w:rsid w:val="004D5251"/>
    <w:rsid w:val="004D6756"/>
    <w:rsid w:val="004D7CA8"/>
    <w:rsid w:val="004E28A0"/>
    <w:rsid w:val="004E5ED9"/>
    <w:rsid w:val="004F0D72"/>
    <w:rsid w:val="004F62D4"/>
    <w:rsid w:val="004F72F4"/>
    <w:rsid w:val="00505784"/>
    <w:rsid w:val="00506514"/>
    <w:rsid w:val="00512C20"/>
    <w:rsid w:val="0051735B"/>
    <w:rsid w:val="0052053B"/>
    <w:rsid w:val="005269A4"/>
    <w:rsid w:val="005315ED"/>
    <w:rsid w:val="00532715"/>
    <w:rsid w:val="00534863"/>
    <w:rsid w:val="00541499"/>
    <w:rsid w:val="00547E51"/>
    <w:rsid w:val="00553032"/>
    <w:rsid w:val="005563BB"/>
    <w:rsid w:val="00556DF7"/>
    <w:rsid w:val="00557511"/>
    <w:rsid w:val="00564581"/>
    <w:rsid w:val="0056525A"/>
    <w:rsid w:val="0057792F"/>
    <w:rsid w:val="00580EF5"/>
    <w:rsid w:val="00583DA4"/>
    <w:rsid w:val="00590BF2"/>
    <w:rsid w:val="00591230"/>
    <w:rsid w:val="00591439"/>
    <w:rsid w:val="0059698F"/>
    <w:rsid w:val="005A4FF5"/>
    <w:rsid w:val="005A66A5"/>
    <w:rsid w:val="005C0A38"/>
    <w:rsid w:val="005C5FBD"/>
    <w:rsid w:val="005D4DA7"/>
    <w:rsid w:val="005E57DC"/>
    <w:rsid w:val="005F21F3"/>
    <w:rsid w:val="005F2543"/>
    <w:rsid w:val="005F6AAB"/>
    <w:rsid w:val="00605179"/>
    <w:rsid w:val="00606162"/>
    <w:rsid w:val="00606A41"/>
    <w:rsid w:val="006144AE"/>
    <w:rsid w:val="00615777"/>
    <w:rsid w:val="006160B8"/>
    <w:rsid w:val="00622084"/>
    <w:rsid w:val="00624F95"/>
    <w:rsid w:val="00625CF8"/>
    <w:rsid w:val="00630168"/>
    <w:rsid w:val="006304C4"/>
    <w:rsid w:val="006305E1"/>
    <w:rsid w:val="0063621A"/>
    <w:rsid w:val="00644087"/>
    <w:rsid w:val="0064535B"/>
    <w:rsid w:val="00646E1B"/>
    <w:rsid w:val="00657C36"/>
    <w:rsid w:val="00663501"/>
    <w:rsid w:val="0066502F"/>
    <w:rsid w:val="0066689C"/>
    <w:rsid w:val="006703DA"/>
    <w:rsid w:val="0067149D"/>
    <w:rsid w:val="0067666F"/>
    <w:rsid w:val="00676D32"/>
    <w:rsid w:val="00676F34"/>
    <w:rsid w:val="00680EE9"/>
    <w:rsid w:val="0068392B"/>
    <w:rsid w:val="0068485C"/>
    <w:rsid w:val="0068743D"/>
    <w:rsid w:val="00687681"/>
    <w:rsid w:val="00690BAC"/>
    <w:rsid w:val="00691ABD"/>
    <w:rsid w:val="00694B56"/>
    <w:rsid w:val="006A3AEC"/>
    <w:rsid w:val="006B32FB"/>
    <w:rsid w:val="006B746A"/>
    <w:rsid w:val="006C041E"/>
    <w:rsid w:val="006C2431"/>
    <w:rsid w:val="006C5124"/>
    <w:rsid w:val="006D195A"/>
    <w:rsid w:val="006D1F19"/>
    <w:rsid w:val="006D5EF7"/>
    <w:rsid w:val="006E333D"/>
    <w:rsid w:val="006E6BBB"/>
    <w:rsid w:val="006F2459"/>
    <w:rsid w:val="006F65F3"/>
    <w:rsid w:val="006F7263"/>
    <w:rsid w:val="00701D3A"/>
    <w:rsid w:val="0070280C"/>
    <w:rsid w:val="00704F14"/>
    <w:rsid w:val="00713568"/>
    <w:rsid w:val="00714886"/>
    <w:rsid w:val="00722996"/>
    <w:rsid w:val="0072671A"/>
    <w:rsid w:val="0073172D"/>
    <w:rsid w:val="007345C8"/>
    <w:rsid w:val="00735B5D"/>
    <w:rsid w:val="00736F37"/>
    <w:rsid w:val="00737E38"/>
    <w:rsid w:val="00740080"/>
    <w:rsid w:val="00743F8E"/>
    <w:rsid w:val="00750863"/>
    <w:rsid w:val="00752C35"/>
    <w:rsid w:val="007538A1"/>
    <w:rsid w:val="007542D0"/>
    <w:rsid w:val="00754315"/>
    <w:rsid w:val="0076347B"/>
    <w:rsid w:val="00764057"/>
    <w:rsid w:val="00780299"/>
    <w:rsid w:val="007810F0"/>
    <w:rsid w:val="00784550"/>
    <w:rsid w:val="00787651"/>
    <w:rsid w:val="00795FB9"/>
    <w:rsid w:val="00797372"/>
    <w:rsid w:val="007A3127"/>
    <w:rsid w:val="007A356E"/>
    <w:rsid w:val="007A5FA9"/>
    <w:rsid w:val="007B37F1"/>
    <w:rsid w:val="007C2011"/>
    <w:rsid w:val="007C4F76"/>
    <w:rsid w:val="007C60EE"/>
    <w:rsid w:val="007D4003"/>
    <w:rsid w:val="007D6412"/>
    <w:rsid w:val="007E18A0"/>
    <w:rsid w:val="007E2E1B"/>
    <w:rsid w:val="007E57EB"/>
    <w:rsid w:val="007E7E77"/>
    <w:rsid w:val="007F163E"/>
    <w:rsid w:val="007F3748"/>
    <w:rsid w:val="007F78EF"/>
    <w:rsid w:val="00800664"/>
    <w:rsid w:val="00802399"/>
    <w:rsid w:val="008054E7"/>
    <w:rsid w:val="008135A8"/>
    <w:rsid w:val="008267A2"/>
    <w:rsid w:val="00827150"/>
    <w:rsid w:val="00840634"/>
    <w:rsid w:val="00852522"/>
    <w:rsid w:val="008630F1"/>
    <w:rsid w:val="00865DCA"/>
    <w:rsid w:val="00865FD3"/>
    <w:rsid w:val="00870EE1"/>
    <w:rsid w:val="008721BC"/>
    <w:rsid w:val="00881EA2"/>
    <w:rsid w:val="00882F8C"/>
    <w:rsid w:val="00883A6B"/>
    <w:rsid w:val="00887D70"/>
    <w:rsid w:val="00891CE5"/>
    <w:rsid w:val="00895598"/>
    <w:rsid w:val="008A0E1C"/>
    <w:rsid w:val="008A6BEE"/>
    <w:rsid w:val="008B0902"/>
    <w:rsid w:val="008B151F"/>
    <w:rsid w:val="008B3FEB"/>
    <w:rsid w:val="008B525A"/>
    <w:rsid w:val="008B76D4"/>
    <w:rsid w:val="008E1E24"/>
    <w:rsid w:val="008E6F12"/>
    <w:rsid w:val="008E791E"/>
    <w:rsid w:val="008F1411"/>
    <w:rsid w:val="008F45DD"/>
    <w:rsid w:val="008F4E14"/>
    <w:rsid w:val="008F6A33"/>
    <w:rsid w:val="00900E5C"/>
    <w:rsid w:val="009019BE"/>
    <w:rsid w:val="0090670B"/>
    <w:rsid w:val="009073E1"/>
    <w:rsid w:val="00911A81"/>
    <w:rsid w:val="00912D4E"/>
    <w:rsid w:val="009164A6"/>
    <w:rsid w:val="009201B4"/>
    <w:rsid w:val="00920B77"/>
    <w:rsid w:val="00921D75"/>
    <w:rsid w:val="0093254E"/>
    <w:rsid w:val="00934274"/>
    <w:rsid w:val="009364AB"/>
    <w:rsid w:val="00942DD5"/>
    <w:rsid w:val="00944534"/>
    <w:rsid w:val="009448B4"/>
    <w:rsid w:val="00951642"/>
    <w:rsid w:val="00953556"/>
    <w:rsid w:val="009558ED"/>
    <w:rsid w:val="00955DBC"/>
    <w:rsid w:val="00960489"/>
    <w:rsid w:val="00970EBA"/>
    <w:rsid w:val="00974A41"/>
    <w:rsid w:val="00974CC8"/>
    <w:rsid w:val="00975202"/>
    <w:rsid w:val="00975DCA"/>
    <w:rsid w:val="00981CC8"/>
    <w:rsid w:val="00983500"/>
    <w:rsid w:val="009923E7"/>
    <w:rsid w:val="009926BE"/>
    <w:rsid w:val="009A036F"/>
    <w:rsid w:val="009A48F0"/>
    <w:rsid w:val="009B1C60"/>
    <w:rsid w:val="009B3338"/>
    <w:rsid w:val="009B3D0F"/>
    <w:rsid w:val="009B6045"/>
    <w:rsid w:val="009B78D7"/>
    <w:rsid w:val="009C4C92"/>
    <w:rsid w:val="009C5835"/>
    <w:rsid w:val="009D605C"/>
    <w:rsid w:val="009D7BC8"/>
    <w:rsid w:val="009E0450"/>
    <w:rsid w:val="009E438A"/>
    <w:rsid w:val="009E6193"/>
    <w:rsid w:val="009E6F9C"/>
    <w:rsid w:val="009E7AEA"/>
    <w:rsid w:val="009F1CDC"/>
    <w:rsid w:val="009F4104"/>
    <w:rsid w:val="00A02C98"/>
    <w:rsid w:val="00A0646A"/>
    <w:rsid w:val="00A07332"/>
    <w:rsid w:val="00A11D31"/>
    <w:rsid w:val="00A12CCC"/>
    <w:rsid w:val="00A12D0E"/>
    <w:rsid w:val="00A1488A"/>
    <w:rsid w:val="00A21DDE"/>
    <w:rsid w:val="00A32308"/>
    <w:rsid w:val="00A34042"/>
    <w:rsid w:val="00A365C0"/>
    <w:rsid w:val="00A40768"/>
    <w:rsid w:val="00A42117"/>
    <w:rsid w:val="00A430A9"/>
    <w:rsid w:val="00A5130C"/>
    <w:rsid w:val="00A52AD7"/>
    <w:rsid w:val="00A5316F"/>
    <w:rsid w:val="00A57623"/>
    <w:rsid w:val="00A67840"/>
    <w:rsid w:val="00A73261"/>
    <w:rsid w:val="00A73E27"/>
    <w:rsid w:val="00A8079A"/>
    <w:rsid w:val="00A80F06"/>
    <w:rsid w:val="00A82E86"/>
    <w:rsid w:val="00A83F5F"/>
    <w:rsid w:val="00A84C16"/>
    <w:rsid w:val="00A9057C"/>
    <w:rsid w:val="00A95FCD"/>
    <w:rsid w:val="00A9743E"/>
    <w:rsid w:val="00A97B34"/>
    <w:rsid w:val="00AA56B8"/>
    <w:rsid w:val="00AA657B"/>
    <w:rsid w:val="00AB177F"/>
    <w:rsid w:val="00AB30D5"/>
    <w:rsid w:val="00AB389B"/>
    <w:rsid w:val="00AB3938"/>
    <w:rsid w:val="00AB39FB"/>
    <w:rsid w:val="00AC4202"/>
    <w:rsid w:val="00AD44F3"/>
    <w:rsid w:val="00AE0050"/>
    <w:rsid w:val="00AE4FE2"/>
    <w:rsid w:val="00AF2A99"/>
    <w:rsid w:val="00AF465B"/>
    <w:rsid w:val="00AF58A3"/>
    <w:rsid w:val="00AF5F99"/>
    <w:rsid w:val="00AF71A2"/>
    <w:rsid w:val="00B070AB"/>
    <w:rsid w:val="00B07876"/>
    <w:rsid w:val="00B101D8"/>
    <w:rsid w:val="00B11EB6"/>
    <w:rsid w:val="00B1258A"/>
    <w:rsid w:val="00B12D01"/>
    <w:rsid w:val="00B14000"/>
    <w:rsid w:val="00B143FD"/>
    <w:rsid w:val="00B15086"/>
    <w:rsid w:val="00B153AC"/>
    <w:rsid w:val="00B17B37"/>
    <w:rsid w:val="00B17CE5"/>
    <w:rsid w:val="00B255CE"/>
    <w:rsid w:val="00B4151D"/>
    <w:rsid w:val="00B63FD5"/>
    <w:rsid w:val="00B665FC"/>
    <w:rsid w:val="00B70A5C"/>
    <w:rsid w:val="00B71ED9"/>
    <w:rsid w:val="00B766FB"/>
    <w:rsid w:val="00B80F77"/>
    <w:rsid w:val="00B840E4"/>
    <w:rsid w:val="00B874D1"/>
    <w:rsid w:val="00B91E6D"/>
    <w:rsid w:val="00B93ADF"/>
    <w:rsid w:val="00B96809"/>
    <w:rsid w:val="00BA0D3C"/>
    <w:rsid w:val="00BA107A"/>
    <w:rsid w:val="00BA3E63"/>
    <w:rsid w:val="00BA5DD3"/>
    <w:rsid w:val="00BA63A6"/>
    <w:rsid w:val="00BA6742"/>
    <w:rsid w:val="00BA68FB"/>
    <w:rsid w:val="00BB0E8B"/>
    <w:rsid w:val="00BC1A2F"/>
    <w:rsid w:val="00BD1E63"/>
    <w:rsid w:val="00BD25C3"/>
    <w:rsid w:val="00BD6835"/>
    <w:rsid w:val="00BE14BD"/>
    <w:rsid w:val="00BE54E4"/>
    <w:rsid w:val="00BE5C40"/>
    <w:rsid w:val="00BF4688"/>
    <w:rsid w:val="00BF5F0D"/>
    <w:rsid w:val="00C030D2"/>
    <w:rsid w:val="00C03C51"/>
    <w:rsid w:val="00C03DEE"/>
    <w:rsid w:val="00C04601"/>
    <w:rsid w:val="00C06A90"/>
    <w:rsid w:val="00C129B1"/>
    <w:rsid w:val="00C1510C"/>
    <w:rsid w:val="00C163C1"/>
    <w:rsid w:val="00C16FED"/>
    <w:rsid w:val="00C3261A"/>
    <w:rsid w:val="00C32A3A"/>
    <w:rsid w:val="00C3343C"/>
    <w:rsid w:val="00C33BF8"/>
    <w:rsid w:val="00C47758"/>
    <w:rsid w:val="00C51CE9"/>
    <w:rsid w:val="00C61E50"/>
    <w:rsid w:val="00C63176"/>
    <w:rsid w:val="00C64777"/>
    <w:rsid w:val="00C67FFA"/>
    <w:rsid w:val="00C71D18"/>
    <w:rsid w:val="00C752BB"/>
    <w:rsid w:val="00C756D7"/>
    <w:rsid w:val="00C75DC1"/>
    <w:rsid w:val="00C84754"/>
    <w:rsid w:val="00C97AAD"/>
    <w:rsid w:val="00CA0F57"/>
    <w:rsid w:val="00CA1248"/>
    <w:rsid w:val="00CA5BD1"/>
    <w:rsid w:val="00CB02F1"/>
    <w:rsid w:val="00CB5820"/>
    <w:rsid w:val="00CB5FA5"/>
    <w:rsid w:val="00CC02B5"/>
    <w:rsid w:val="00CC1217"/>
    <w:rsid w:val="00CC6E47"/>
    <w:rsid w:val="00CD19E3"/>
    <w:rsid w:val="00CD507F"/>
    <w:rsid w:val="00CD6D03"/>
    <w:rsid w:val="00CE3ECA"/>
    <w:rsid w:val="00CE77B8"/>
    <w:rsid w:val="00CF3A31"/>
    <w:rsid w:val="00CF4D72"/>
    <w:rsid w:val="00CF5A92"/>
    <w:rsid w:val="00CF68F0"/>
    <w:rsid w:val="00CF7A10"/>
    <w:rsid w:val="00D163E6"/>
    <w:rsid w:val="00D17B6E"/>
    <w:rsid w:val="00D2299B"/>
    <w:rsid w:val="00D3277F"/>
    <w:rsid w:val="00D3393B"/>
    <w:rsid w:val="00D37021"/>
    <w:rsid w:val="00D40132"/>
    <w:rsid w:val="00D54061"/>
    <w:rsid w:val="00D6167B"/>
    <w:rsid w:val="00D62A39"/>
    <w:rsid w:val="00D7676F"/>
    <w:rsid w:val="00D81CA1"/>
    <w:rsid w:val="00D874B3"/>
    <w:rsid w:val="00D9249B"/>
    <w:rsid w:val="00D94E2A"/>
    <w:rsid w:val="00D96594"/>
    <w:rsid w:val="00D9794F"/>
    <w:rsid w:val="00DA19B7"/>
    <w:rsid w:val="00DA6CE4"/>
    <w:rsid w:val="00DA79DC"/>
    <w:rsid w:val="00DB2428"/>
    <w:rsid w:val="00DB7081"/>
    <w:rsid w:val="00DC21DB"/>
    <w:rsid w:val="00DC4989"/>
    <w:rsid w:val="00DC668A"/>
    <w:rsid w:val="00DC6C89"/>
    <w:rsid w:val="00DC7A4F"/>
    <w:rsid w:val="00DD462E"/>
    <w:rsid w:val="00DD5161"/>
    <w:rsid w:val="00DD5EFB"/>
    <w:rsid w:val="00DE2DD7"/>
    <w:rsid w:val="00DE32EF"/>
    <w:rsid w:val="00DF0819"/>
    <w:rsid w:val="00DF1490"/>
    <w:rsid w:val="00DF4115"/>
    <w:rsid w:val="00DF5E2C"/>
    <w:rsid w:val="00E048AC"/>
    <w:rsid w:val="00E0607D"/>
    <w:rsid w:val="00E11535"/>
    <w:rsid w:val="00E15511"/>
    <w:rsid w:val="00E15C68"/>
    <w:rsid w:val="00E15E36"/>
    <w:rsid w:val="00E246DE"/>
    <w:rsid w:val="00E301DB"/>
    <w:rsid w:val="00E30BF0"/>
    <w:rsid w:val="00E319DC"/>
    <w:rsid w:val="00E33FA5"/>
    <w:rsid w:val="00E36C26"/>
    <w:rsid w:val="00E50539"/>
    <w:rsid w:val="00E5205F"/>
    <w:rsid w:val="00E52C28"/>
    <w:rsid w:val="00E5303F"/>
    <w:rsid w:val="00E57EA9"/>
    <w:rsid w:val="00E6193C"/>
    <w:rsid w:val="00E637E2"/>
    <w:rsid w:val="00E838EE"/>
    <w:rsid w:val="00E96F01"/>
    <w:rsid w:val="00E971FB"/>
    <w:rsid w:val="00E97575"/>
    <w:rsid w:val="00EA0F66"/>
    <w:rsid w:val="00EA1F0F"/>
    <w:rsid w:val="00EB3FBE"/>
    <w:rsid w:val="00EB6710"/>
    <w:rsid w:val="00EC0D0B"/>
    <w:rsid w:val="00EC1372"/>
    <w:rsid w:val="00EC4339"/>
    <w:rsid w:val="00EC59F4"/>
    <w:rsid w:val="00ED145C"/>
    <w:rsid w:val="00ED1DAB"/>
    <w:rsid w:val="00ED4CBF"/>
    <w:rsid w:val="00EE7BCC"/>
    <w:rsid w:val="00EE7C96"/>
    <w:rsid w:val="00EF2387"/>
    <w:rsid w:val="00EF27F1"/>
    <w:rsid w:val="00EF5C04"/>
    <w:rsid w:val="00EF6C0A"/>
    <w:rsid w:val="00F01573"/>
    <w:rsid w:val="00F10618"/>
    <w:rsid w:val="00F11479"/>
    <w:rsid w:val="00F1642F"/>
    <w:rsid w:val="00F223CB"/>
    <w:rsid w:val="00F224A1"/>
    <w:rsid w:val="00F2324A"/>
    <w:rsid w:val="00F2350D"/>
    <w:rsid w:val="00F246C5"/>
    <w:rsid w:val="00F32501"/>
    <w:rsid w:val="00F42345"/>
    <w:rsid w:val="00F51201"/>
    <w:rsid w:val="00F552ED"/>
    <w:rsid w:val="00F72CEC"/>
    <w:rsid w:val="00F76E80"/>
    <w:rsid w:val="00F7775C"/>
    <w:rsid w:val="00F77833"/>
    <w:rsid w:val="00F849C6"/>
    <w:rsid w:val="00F873CF"/>
    <w:rsid w:val="00F90630"/>
    <w:rsid w:val="00F974D5"/>
    <w:rsid w:val="00FA278D"/>
    <w:rsid w:val="00FA3A2A"/>
    <w:rsid w:val="00FA3D8A"/>
    <w:rsid w:val="00FC4329"/>
    <w:rsid w:val="00FD0907"/>
    <w:rsid w:val="00FD6798"/>
    <w:rsid w:val="00FD6B81"/>
    <w:rsid w:val="00FD706B"/>
    <w:rsid w:val="00FE5158"/>
    <w:rsid w:val="00FF0C8B"/>
    <w:rsid w:val="00FF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093B27"/>
  <w14:defaultImageDpi w14:val="32767"/>
  <w15:chartTrackingRefBased/>
  <w15:docId w15:val="{EC27FF26-2036-E54C-AB13-BC49A311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E2DD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6D6"/>
    <w:pPr>
      <w:ind w:left="720"/>
      <w:contextualSpacing/>
    </w:pPr>
  </w:style>
  <w:style w:type="paragraph" w:styleId="Header">
    <w:name w:val="header"/>
    <w:basedOn w:val="Normal"/>
    <w:link w:val="HeaderChar"/>
    <w:uiPriority w:val="99"/>
    <w:unhideWhenUsed/>
    <w:rsid w:val="00951642"/>
    <w:pPr>
      <w:tabs>
        <w:tab w:val="center" w:pos="4680"/>
        <w:tab w:val="right" w:pos="9360"/>
      </w:tabs>
    </w:pPr>
  </w:style>
  <w:style w:type="character" w:customStyle="1" w:styleId="HeaderChar">
    <w:name w:val="Header Char"/>
    <w:basedOn w:val="DefaultParagraphFont"/>
    <w:link w:val="Header"/>
    <w:uiPriority w:val="99"/>
    <w:rsid w:val="00951642"/>
  </w:style>
  <w:style w:type="paragraph" w:styleId="Footer">
    <w:name w:val="footer"/>
    <w:basedOn w:val="Normal"/>
    <w:link w:val="FooterChar"/>
    <w:uiPriority w:val="99"/>
    <w:unhideWhenUsed/>
    <w:rsid w:val="00951642"/>
    <w:pPr>
      <w:tabs>
        <w:tab w:val="center" w:pos="4680"/>
        <w:tab w:val="right" w:pos="9360"/>
      </w:tabs>
    </w:pPr>
  </w:style>
  <w:style w:type="character" w:customStyle="1" w:styleId="FooterChar">
    <w:name w:val="Footer Char"/>
    <w:basedOn w:val="DefaultParagraphFont"/>
    <w:link w:val="Footer"/>
    <w:uiPriority w:val="99"/>
    <w:rsid w:val="00951642"/>
  </w:style>
  <w:style w:type="paragraph" w:styleId="NormalWeb">
    <w:name w:val="Normal (Web)"/>
    <w:basedOn w:val="Normal"/>
    <w:uiPriority w:val="99"/>
    <w:unhideWhenUsed/>
    <w:rsid w:val="00951642"/>
    <w:pPr>
      <w:spacing w:before="100" w:beforeAutospacing="1" w:after="100" w:afterAutospacing="1"/>
    </w:pPr>
  </w:style>
  <w:style w:type="character" w:styleId="PageNumber">
    <w:name w:val="page number"/>
    <w:basedOn w:val="DefaultParagraphFont"/>
    <w:uiPriority w:val="99"/>
    <w:semiHidden/>
    <w:unhideWhenUsed/>
    <w:rsid w:val="00580EF5"/>
  </w:style>
  <w:style w:type="character" w:styleId="Hyperlink">
    <w:name w:val="Hyperlink"/>
    <w:basedOn w:val="DefaultParagraphFont"/>
    <w:uiPriority w:val="99"/>
    <w:unhideWhenUsed/>
    <w:rsid w:val="00074644"/>
    <w:rPr>
      <w:color w:val="0000FF"/>
      <w:u w:val="single"/>
    </w:rPr>
  </w:style>
  <w:style w:type="character" w:styleId="FollowedHyperlink">
    <w:name w:val="FollowedHyperlink"/>
    <w:basedOn w:val="DefaultParagraphFont"/>
    <w:uiPriority w:val="99"/>
    <w:semiHidden/>
    <w:unhideWhenUsed/>
    <w:rsid w:val="006B746A"/>
    <w:rPr>
      <w:color w:val="954F72" w:themeColor="followedHyperlink"/>
      <w:u w:val="single"/>
    </w:rPr>
  </w:style>
  <w:style w:type="character" w:styleId="UnresolvedMention">
    <w:name w:val="Unresolved Mention"/>
    <w:basedOn w:val="DefaultParagraphFont"/>
    <w:uiPriority w:val="99"/>
    <w:rsid w:val="006B746A"/>
    <w:rPr>
      <w:color w:val="605E5C"/>
      <w:shd w:val="clear" w:color="auto" w:fill="E1DFDD"/>
    </w:rPr>
  </w:style>
  <w:style w:type="paragraph" w:styleId="PlainText">
    <w:name w:val="Plain Text"/>
    <w:basedOn w:val="Normal"/>
    <w:link w:val="PlainTextChar"/>
    <w:uiPriority w:val="99"/>
    <w:unhideWhenUsed/>
    <w:rsid w:val="001D204C"/>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1D204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20309">
      <w:bodyDiv w:val="1"/>
      <w:marLeft w:val="0"/>
      <w:marRight w:val="0"/>
      <w:marTop w:val="0"/>
      <w:marBottom w:val="0"/>
      <w:divBdr>
        <w:top w:val="none" w:sz="0" w:space="0" w:color="auto"/>
        <w:left w:val="none" w:sz="0" w:space="0" w:color="auto"/>
        <w:bottom w:val="none" w:sz="0" w:space="0" w:color="auto"/>
        <w:right w:val="none" w:sz="0" w:space="0" w:color="auto"/>
      </w:divBdr>
    </w:div>
    <w:div w:id="78142446">
      <w:bodyDiv w:val="1"/>
      <w:marLeft w:val="0"/>
      <w:marRight w:val="0"/>
      <w:marTop w:val="0"/>
      <w:marBottom w:val="0"/>
      <w:divBdr>
        <w:top w:val="none" w:sz="0" w:space="0" w:color="auto"/>
        <w:left w:val="none" w:sz="0" w:space="0" w:color="auto"/>
        <w:bottom w:val="none" w:sz="0" w:space="0" w:color="auto"/>
        <w:right w:val="none" w:sz="0" w:space="0" w:color="auto"/>
      </w:divBdr>
    </w:div>
    <w:div w:id="152766806">
      <w:bodyDiv w:val="1"/>
      <w:marLeft w:val="0"/>
      <w:marRight w:val="0"/>
      <w:marTop w:val="0"/>
      <w:marBottom w:val="0"/>
      <w:divBdr>
        <w:top w:val="none" w:sz="0" w:space="0" w:color="auto"/>
        <w:left w:val="none" w:sz="0" w:space="0" w:color="auto"/>
        <w:bottom w:val="none" w:sz="0" w:space="0" w:color="auto"/>
        <w:right w:val="none" w:sz="0" w:space="0" w:color="auto"/>
      </w:divBdr>
    </w:div>
    <w:div w:id="221985114">
      <w:bodyDiv w:val="1"/>
      <w:marLeft w:val="0"/>
      <w:marRight w:val="0"/>
      <w:marTop w:val="0"/>
      <w:marBottom w:val="0"/>
      <w:divBdr>
        <w:top w:val="none" w:sz="0" w:space="0" w:color="auto"/>
        <w:left w:val="none" w:sz="0" w:space="0" w:color="auto"/>
        <w:bottom w:val="none" w:sz="0" w:space="0" w:color="auto"/>
        <w:right w:val="none" w:sz="0" w:space="0" w:color="auto"/>
      </w:divBdr>
    </w:div>
    <w:div w:id="342516774">
      <w:bodyDiv w:val="1"/>
      <w:marLeft w:val="0"/>
      <w:marRight w:val="0"/>
      <w:marTop w:val="0"/>
      <w:marBottom w:val="0"/>
      <w:divBdr>
        <w:top w:val="none" w:sz="0" w:space="0" w:color="auto"/>
        <w:left w:val="none" w:sz="0" w:space="0" w:color="auto"/>
        <w:bottom w:val="none" w:sz="0" w:space="0" w:color="auto"/>
        <w:right w:val="none" w:sz="0" w:space="0" w:color="auto"/>
      </w:divBdr>
    </w:div>
    <w:div w:id="348289308">
      <w:bodyDiv w:val="1"/>
      <w:marLeft w:val="0"/>
      <w:marRight w:val="0"/>
      <w:marTop w:val="0"/>
      <w:marBottom w:val="0"/>
      <w:divBdr>
        <w:top w:val="none" w:sz="0" w:space="0" w:color="auto"/>
        <w:left w:val="none" w:sz="0" w:space="0" w:color="auto"/>
        <w:bottom w:val="none" w:sz="0" w:space="0" w:color="auto"/>
        <w:right w:val="none" w:sz="0" w:space="0" w:color="auto"/>
      </w:divBdr>
    </w:div>
    <w:div w:id="387608003">
      <w:bodyDiv w:val="1"/>
      <w:marLeft w:val="0"/>
      <w:marRight w:val="0"/>
      <w:marTop w:val="0"/>
      <w:marBottom w:val="0"/>
      <w:divBdr>
        <w:top w:val="none" w:sz="0" w:space="0" w:color="auto"/>
        <w:left w:val="none" w:sz="0" w:space="0" w:color="auto"/>
        <w:bottom w:val="none" w:sz="0" w:space="0" w:color="auto"/>
        <w:right w:val="none" w:sz="0" w:space="0" w:color="auto"/>
      </w:divBdr>
    </w:div>
    <w:div w:id="448470875">
      <w:bodyDiv w:val="1"/>
      <w:marLeft w:val="0"/>
      <w:marRight w:val="0"/>
      <w:marTop w:val="0"/>
      <w:marBottom w:val="0"/>
      <w:divBdr>
        <w:top w:val="none" w:sz="0" w:space="0" w:color="auto"/>
        <w:left w:val="none" w:sz="0" w:space="0" w:color="auto"/>
        <w:bottom w:val="none" w:sz="0" w:space="0" w:color="auto"/>
        <w:right w:val="none" w:sz="0" w:space="0" w:color="auto"/>
      </w:divBdr>
    </w:div>
    <w:div w:id="600719692">
      <w:bodyDiv w:val="1"/>
      <w:marLeft w:val="0"/>
      <w:marRight w:val="0"/>
      <w:marTop w:val="0"/>
      <w:marBottom w:val="0"/>
      <w:divBdr>
        <w:top w:val="none" w:sz="0" w:space="0" w:color="auto"/>
        <w:left w:val="none" w:sz="0" w:space="0" w:color="auto"/>
        <w:bottom w:val="none" w:sz="0" w:space="0" w:color="auto"/>
        <w:right w:val="none" w:sz="0" w:space="0" w:color="auto"/>
      </w:divBdr>
    </w:div>
    <w:div w:id="637609644">
      <w:bodyDiv w:val="1"/>
      <w:marLeft w:val="0"/>
      <w:marRight w:val="0"/>
      <w:marTop w:val="0"/>
      <w:marBottom w:val="0"/>
      <w:divBdr>
        <w:top w:val="none" w:sz="0" w:space="0" w:color="auto"/>
        <w:left w:val="none" w:sz="0" w:space="0" w:color="auto"/>
        <w:bottom w:val="none" w:sz="0" w:space="0" w:color="auto"/>
        <w:right w:val="none" w:sz="0" w:space="0" w:color="auto"/>
      </w:divBdr>
    </w:div>
    <w:div w:id="669451208">
      <w:bodyDiv w:val="1"/>
      <w:marLeft w:val="0"/>
      <w:marRight w:val="0"/>
      <w:marTop w:val="0"/>
      <w:marBottom w:val="0"/>
      <w:divBdr>
        <w:top w:val="none" w:sz="0" w:space="0" w:color="auto"/>
        <w:left w:val="none" w:sz="0" w:space="0" w:color="auto"/>
        <w:bottom w:val="none" w:sz="0" w:space="0" w:color="auto"/>
        <w:right w:val="none" w:sz="0" w:space="0" w:color="auto"/>
      </w:divBdr>
    </w:div>
    <w:div w:id="756828257">
      <w:bodyDiv w:val="1"/>
      <w:marLeft w:val="0"/>
      <w:marRight w:val="0"/>
      <w:marTop w:val="0"/>
      <w:marBottom w:val="0"/>
      <w:divBdr>
        <w:top w:val="none" w:sz="0" w:space="0" w:color="auto"/>
        <w:left w:val="none" w:sz="0" w:space="0" w:color="auto"/>
        <w:bottom w:val="none" w:sz="0" w:space="0" w:color="auto"/>
        <w:right w:val="none" w:sz="0" w:space="0" w:color="auto"/>
      </w:divBdr>
    </w:div>
    <w:div w:id="776606669">
      <w:bodyDiv w:val="1"/>
      <w:marLeft w:val="0"/>
      <w:marRight w:val="0"/>
      <w:marTop w:val="0"/>
      <w:marBottom w:val="0"/>
      <w:divBdr>
        <w:top w:val="none" w:sz="0" w:space="0" w:color="auto"/>
        <w:left w:val="none" w:sz="0" w:space="0" w:color="auto"/>
        <w:bottom w:val="none" w:sz="0" w:space="0" w:color="auto"/>
        <w:right w:val="none" w:sz="0" w:space="0" w:color="auto"/>
      </w:divBdr>
    </w:div>
    <w:div w:id="893157226">
      <w:bodyDiv w:val="1"/>
      <w:marLeft w:val="0"/>
      <w:marRight w:val="0"/>
      <w:marTop w:val="0"/>
      <w:marBottom w:val="0"/>
      <w:divBdr>
        <w:top w:val="none" w:sz="0" w:space="0" w:color="auto"/>
        <w:left w:val="none" w:sz="0" w:space="0" w:color="auto"/>
        <w:bottom w:val="none" w:sz="0" w:space="0" w:color="auto"/>
        <w:right w:val="none" w:sz="0" w:space="0" w:color="auto"/>
      </w:divBdr>
    </w:div>
    <w:div w:id="893276429">
      <w:bodyDiv w:val="1"/>
      <w:marLeft w:val="0"/>
      <w:marRight w:val="0"/>
      <w:marTop w:val="0"/>
      <w:marBottom w:val="0"/>
      <w:divBdr>
        <w:top w:val="none" w:sz="0" w:space="0" w:color="auto"/>
        <w:left w:val="none" w:sz="0" w:space="0" w:color="auto"/>
        <w:bottom w:val="none" w:sz="0" w:space="0" w:color="auto"/>
        <w:right w:val="none" w:sz="0" w:space="0" w:color="auto"/>
      </w:divBdr>
    </w:div>
    <w:div w:id="970550350">
      <w:bodyDiv w:val="1"/>
      <w:marLeft w:val="0"/>
      <w:marRight w:val="0"/>
      <w:marTop w:val="0"/>
      <w:marBottom w:val="0"/>
      <w:divBdr>
        <w:top w:val="none" w:sz="0" w:space="0" w:color="auto"/>
        <w:left w:val="none" w:sz="0" w:space="0" w:color="auto"/>
        <w:bottom w:val="none" w:sz="0" w:space="0" w:color="auto"/>
        <w:right w:val="none" w:sz="0" w:space="0" w:color="auto"/>
      </w:divBdr>
    </w:div>
    <w:div w:id="1084838468">
      <w:bodyDiv w:val="1"/>
      <w:marLeft w:val="0"/>
      <w:marRight w:val="0"/>
      <w:marTop w:val="0"/>
      <w:marBottom w:val="0"/>
      <w:divBdr>
        <w:top w:val="none" w:sz="0" w:space="0" w:color="auto"/>
        <w:left w:val="none" w:sz="0" w:space="0" w:color="auto"/>
        <w:bottom w:val="none" w:sz="0" w:space="0" w:color="auto"/>
        <w:right w:val="none" w:sz="0" w:space="0" w:color="auto"/>
      </w:divBdr>
    </w:div>
    <w:div w:id="1153109458">
      <w:bodyDiv w:val="1"/>
      <w:marLeft w:val="0"/>
      <w:marRight w:val="0"/>
      <w:marTop w:val="0"/>
      <w:marBottom w:val="0"/>
      <w:divBdr>
        <w:top w:val="none" w:sz="0" w:space="0" w:color="auto"/>
        <w:left w:val="none" w:sz="0" w:space="0" w:color="auto"/>
        <w:bottom w:val="none" w:sz="0" w:space="0" w:color="auto"/>
        <w:right w:val="none" w:sz="0" w:space="0" w:color="auto"/>
      </w:divBdr>
    </w:div>
    <w:div w:id="1236236953">
      <w:bodyDiv w:val="1"/>
      <w:marLeft w:val="0"/>
      <w:marRight w:val="0"/>
      <w:marTop w:val="0"/>
      <w:marBottom w:val="0"/>
      <w:divBdr>
        <w:top w:val="none" w:sz="0" w:space="0" w:color="auto"/>
        <w:left w:val="none" w:sz="0" w:space="0" w:color="auto"/>
        <w:bottom w:val="none" w:sz="0" w:space="0" w:color="auto"/>
        <w:right w:val="none" w:sz="0" w:space="0" w:color="auto"/>
      </w:divBdr>
    </w:div>
    <w:div w:id="1278874852">
      <w:bodyDiv w:val="1"/>
      <w:marLeft w:val="0"/>
      <w:marRight w:val="0"/>
      <w:marTop w:val="0"/>
      <w:marBottom w:val="0"/>
      <w:divBdr>
        <w:top w:val="none" w:sz="0" w:space="0" w:color="auto"/>
        <w:left w:val="none" w:sz="0" w:space="0" w:color="auto"/>
        <w:bottom w:val="none" w:sz="0" w:space="0" w:color="auto"/>
        <w:right w:val="none" w:sz="0" w:space="0" w:color="auto"/>
      </w:divBdr>
    </w:div>
    <w:div w:id="1290933571">
      <w:bodyDiv w:val="1"/>
      <w:marLeft w:val="0"/>
      <w:marRight w:val="0"/>
      <w:marTop w:val="0"/>
      <w:marBottom w:val="0"/>
      <w:divBdr>
        <w:top w:val="none" w:sz="0" w:space="0" w:color="auto"/>
        <w:left w:val="none" w:sz="0" w:space="0" w:color="auto"/>
        <w:bottom w:val="none" w:sz="0" w:space="0" w:color="auto"/>
        <w:right w:val="none" w:sz="0" w:space="0" w:color="auto"/>
      </w:divBdr>
    </w:div>
    <w:div w:id="1324774259">
      <w:bodyDiv w:val="1"/>
      <w:marLeft w:val="0"/>
      <w:marRight w:val="0"/>
      <w:marTop w:val="0"/>
      <w:marBottom w:val="0"/>
      <w:divBdr>
        <w:top w:val="none" w:sz="0" w:space="0" w:color="auto"/>
        <w:left w:val="none" w:sz="0" w:space="0" w:color="auto"/>
        <w:bottom w:val="none" w:sz="0" w:space="0" w:color="auto"/>
        <w:right w:val="none" w:sz="0" w:space="0" w:color="auto"/>
      </w:divBdr>
    </w:div>
    <w:div w:id="1372341919">
      <w:bodyDiv w:val="1"/>
      <w:marLeft w:val="0"/>
      <w:marRight w:val="0"/>
      <w:marTop w:val="0"/>
      <w:marBottom w:val="0"/>
      <w:divBdr>
        <w:top w:val="none" w:sz="0" w:space="0" w:color="auto"/>
        <w:left w:val="none" w:sz="0" w:space="0" w:color="auto"/>
        <w:bottom w:val="none" w:sz="0" w:space="0" w:color="auto"/>
        <w:right w:val="none" w:sz="0" w:space="0" w:color="auto"/>
      </w:divBdr>
    </w:div>
    <w:div w:id="1399330074">
      <w:bodyDiv w:val="1"/>
      <w:marLeft w:val="0"/>
      <w:marRight w:val="0"/>
      <w:marTop w:val="0"/>
      <w:marBottom w:val="0"/>
      <w:divBdr>
        <w:top w:val="none" w:sz="0" w:space="0" w:color="auto"/>
        <w:left w:val="none" w:sz="0" w:space="0" w:color="auto"/>
        <w:bottom w:val="none" w:sz="0" w:space="0" w:color="auto"/>
        <w:right w:val="none" w:sz="0" w:space="0" w:color="auto"/>
      </w:divBdr>
    </w:div>
    <w:div w:id="1476950570">
      <w:bodyDiv w:val="1"/>
      <w:marLeft w:val="0"/>
      <w:marRight w:val="0"/>
      <w:marTop w:val="0"/>
      <w:marBottom w:val="0"/>
      <w:divBdr>
        <w:top w:val="none" w:sz="0" w:space="0" w:color="auto"/>
        <w:left w:val="none" w:sz="0" w:space="0" w:color="auto"/>
        <w:bottom w:val="none" w:sz="0" w:space="0" w:color="auto"/>
        <w:right w:val="none" w:sz="0" w:space="0" w:color="auto"/>
      </w:divBdr>
    </w:div>
    <w:div w:id="1484271344">
      <w:bodyDiv w:val="1"/>
      <w:marLeft w:val="0"/>
      <w:marRight w:val="0"/>
      <w:marTop w:val="0"/>
      <w:marBottom w:val="0"/>
      <w:divBdr>
        <w:top w:val="none" w:sz="0" w:space="0" w:color="auto"/>
        <w:left w:val="none" w:sz="0" w:space="0" w:color="auto"/>
        <w:bottom w:val="none" w:sz="0" w:space="0" w:color="auto"/>
        <w:right w:val="none" w:sz="0" w:space="0" w:color="auto"/>
      </w:divBdr>
    </w:div>
    <w:div w:id="1485390450">
      <w:bodyDiv w:val="1"/>
      <w:marLeft w:val="0"/>
      <w:marRight w:val="0"/>
      <w:marTop w:val="0"/>
      <w:marBottom w:val="0"/>
      <w:divBdr>
        <w:top w:val="none" w:sz="0" w:space="0" w:color="auto"/>
        <w:left w:val="none" w:sz="0" w:space="0" w:color="auto"/>
        <w:bottom w:val="none" w:sz="0" w:space="0" w:color="auto"/>
        <w:right w:val="none" w:sz="0" w:space="0" w:color="auto"/>
      </w:divBdr>
    </w:div>
    <w:div w:id="1636913871">
      <w:bodyDiv w:val="1"/>
      <w:marLeft w:val="0"/>
      <w:marRight w:val="0"/>
      <w:marTop w:val="0"/>
      <w:marBottom w:val="0"/>
      <w:divBdr>
        <w:top w:val="none" w:sz="0" w:space="0" w:color="auto"/>
        <w:left w:val="none" w:sz="0" w:space="0" w:color="auto"/>
        <w:bottom w:val="none" w:sz="0" w:space="0" w:color="auto"/>
        <w:right w:val="none" w:sz="0" w:space="0" w:color="auto"/>
      </w:divBdr>
    </w:div>
    <w:div w:id="1702513143">
      <w:bodyDiv w:val="1"/>
      <w:marLeft w:val="0"/>
      <w:marRight w:val="0"/>
      <w:marTop w:val="0"/>
      <w:marBottom w:val="0"/>
      <w:divBdr>
        <w:top w:val="none" w:sz="0" w:space="0" w:color="auto"/>
        <w:left w:val="none" w:sz="0" w:space="0" w:color="auto"/>
        <w:bottom w:val="none" w:sz="0" w:space="0" w:color="auto"/>
        <w:right w:val="none" w:sz="0" w:space="0" w:color="auto"/>
      </w:divBdr>
    </w:div>
    <w:div w:id="1770544065">
      <w:bodyDiv w:val="1"/>
      <w:marLeft w:val="0"/>
      <w:marRight w:val="0"/>
      <w:marTop w:val="0"/>
      <w:marBottom w:val="0"/>
      <w:divBdr>
        <w:top w:val="none" w:sz="0" w:space="0" w:color="auto"/>
        <w:left w:val="none" w:sz="0" w:space="0" w:color="auto"/>
        <w:bottom w:val="none" w:sz="0" w:space="0" w:color="auto"/>
        <w:right w:val="none" w:sz="0" w:space="0" w:color="auto"/>
      </w:divBdr>
    </w:div>
    <w:div w:id="1788161470">
      <w:bodyDiv w:val="1"/>
      <w:marLeft w:val="0"/>
      <w:marRight w:val="0"/>
      <w:marTop w:val="0"/>
      <w:marBottom w:val="0"/>
      <w:divBdr>
        <w:top w:val="none" w:sz="0" w:space="0" w:color="auto"/>
        <w:left w:val="none" w:sz="0" w:space="0" w:color="auto"/>
        <w:bottom w:val="none" w:sz="0" w:space="0" w:color="auto"/>
        <w:right w:val="none" w:sz="0" w:space="0" w:color="auto"/>
      </w:divBdr>
    </w:div>
    <w:div w:id="1860200063">
      <w:bodyDiv w:val="1"/>
      <w:marLeft w:val="0"/>
      <w:marRight w:val="0"/>
      <w:marTop w:val="0"/>
      <w:marBottom w:val="0"/>
      <w:divBdr>
        <w:top w:val="none" w:sz="0" w:space="0" w:color="auto"/>
        <w:left w:val="none" w:sz="0" w:space="0" w:color="auto"/>
        <w:bottom w:val="none" w:sz="0" w:space="0" w:color="auto"/>
        <w:right w:val="none" w:sz="0" w:space="0" w:color="auto"/>
      </w:divBdr>
    </w:div>
    <w:div w:id="1890723619">
      <w:bodyDiv w:val="1"/>
      <w:marLeft w:val="0"/>
      <w:marRight w:val="0"/>
      <w:marTop w:val="0"/>
      <w:marBottom w:val="0"/>
      <w:divBdr>
        <w:top w:val="none" w:sz="0" w:space="0" w:color="auto"/>
        <w:left w:val="none" w:sz="0" w:space="0" w:color="auto"/>
        <w:bottom w:val="none" w:sz="0" w:space="0" w:color="auto"/>
        <w:right w:val="none" w:sz="0" w:space="0" w:color="auto"/>
      </w:divBdr>
    </w:div>
    <w:div w:id="1907841162">
      <w:bodyDiv w:val="1"/>
      <w:marLeft w:val="0"/>
      <w:marRight w:val="0"/>
      <w:marTop w:val="0"/>
      <w:marBottom w:val="0"/>
      <w:divBdr>
        <w:top w:val="none" w:sz="0" w:space="0" w:color="auto"/>
        <w:left w:val="none" w:sz="0" w:space="0" w:color="auto"/>
        <w:bottom w:val="none" w:sz="0" w:space="0" w:color="auto"/>
        <w:right w:val="none" w:sz="0" w:space="0" w:color="auto"/>
      </w:divBdr>
    </w:div>
    <w:div w:id="1935042830">
      <w:bodyDiv w:val="1"/>
      <w:marLeft w:val="0"/>
      <w:marRight w:val="0"/>
      <w:marTop w:val="0"/>
      <w:marBottom w:val="0"/>
      <w:divBdr>
        <w:top w:val="none" w:sz="0" w:space="0" w:color="auto"/>
        <w:left w:val="none" w:sz="0" w:space="0" w:color="auto"/>
        <w:bottom w:val="none" w:sz="0" w:space="0" w:color="auto"/>
        <w:right w:val="none" w:sz="0" w:space="0" w:color="auto"/>
      </w:divBdr>
    </w:div>
    <w:div w:id="1990357807">
      <w:bodyDiv w:val="1"/>
      <w:marLeft w:val="0"/>
      <w:marRight w:val="0"/>
      <w:marTop w:val="0"/>
      <w:marBottom w:val="0"/>
      <w:divBdr>
        <w:top w:val="none" w:sz="0" w:space="0" w:color="auto"/>
        <w:left w:val="none" w:sz="0" w:space="0" w:color="auto"/>
        <w:bottom w:val="none" w:sz="0" w:space="0" w:color="auto"/>
        <w:right w:val="none" w:sz="0" w:space="0" w:color="auto"/>
      </w:divBdr>
    </w:div>
    <w:div w:id="2027561999">
      <w:bodyDiv w:val="1"/>
      <w:marLeft w:val="0"/>
      <w:marRight w:val="0"/>
      <w:marTop w:val="0"/>
      <w:marBottom w:val="0"/>
      <w:divBdr>
        <w:top w:val="none" w:sz="0" w:space="0" w:color="auto"/>
        <w:left w:val="none" w:sz="0" w:space="0" w:color="auto"/>
        <w:bottom w:val="none" w:sz="0" w:space="0" w:color="auto"/>
        <w:right w:val="none" w:sz="0" w:space="0" w:color="auto"/>
      </w:divBdr>
    </w:div>
    <w:div w:id="2053846845">
      <w:bodyDiv w:val="1"/>
      <w:marLeft w:val="0"/>
      <w:marRight w:val="0"/>
      <w:marTop w:val="0"/>
      <w:marBottom w:val="0"/>
      <w:divBdr>
        <w:top w:val="none" w:sz="0" w:space="0" w:color="auto"/>
        <w:left w:val="none" w:sz="0" w:space="0" w:color="auto"/>
        <w:bottom w:val="none" w:sz="0" w:space="0" w:color="auto"/>
        <w:right w:val="none" w:sz="0" w:space="0" w:color="auto"/>
      </w:divBdr>
    </w:div>
    <w:div w:id="2072190881">
      <w:bodyDiv w:val="1"/>
      <w:marLeft w:val="0"/>
      <w:marRight w:val="0"/>
      <w:marTop w:val="0"/>
      <w:marBottom w:val="0"/>
      <w:divBdr>
        <w:top w:val="none" w:sz="0" w:space="0" w:color="auto"/>
        <w:left w:val="none" w:sz="0" w:space="0" w:color="auto"/>
        <w:bottom w:val="none" w:sz="0" w:space="0" w:color="auto"/>
        <w:right w:val="none" w:sz="0" w:space="0" w:color="auto"/>
      </w:divBdr>
    </w:div>
    <w:div w:id="2088913540">
      <w:bodyDiv w:val="1"/>
      <w:marLeft w:val="0"/>
      <w:marRight w:val="0"/>
      <w:marTop w:val="0"/>
      <w:marBottom w:val="0"/>
      <w:divBdr>
        <w:top w:val="none" w:sz="0" w:space="0" w:color="auto"/>
        <w:left w:val="none" w:sz="0" w:space="0" w:color="auto"/>
        <w:bottom w:val="none" w:sz="0" w:space="0" w:color="auto"/>
        <w:right w:val="none" w:sz="0" w:space="0" w:color="auto"/>
      </w:divBdr>
    </w:div>
    <w:div w:id="2140611955">
      <w:bodyDiv w:val="1"/>
      <w:marLeft w:val="0"/>
      <w:marRight w:val="0"/>
      <w:marTop w:val="0"/>
      <w:marBottom w:val="0"/>
      <w:divBdr>
        <w:top w:val="none" w:sz="0" w:space="0" w:color="auto"/>
        <w:left w:val="none" w:sz="0" w:space="0" w:color="auto"/>
        <w:bottom w:val="none" w:sz="0" w:space="0" w:color="auto"/>
        <w:right w:val="none" w:sz="0" w:space="0" w:color="auto"/>
      </w:divBdr>
    </w:div>
    <w:div w:id="214362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www.foodbusinessnews.net/articles/15419-kraft-heinz-co-seeking-greater-stability-in-fiscal-2020"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ww.nytimes.com/2020/04/09/business/coronvirus-bank-of-america-workers.htm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s://www.nytimes.com/2020/03/02/business/michael-bloomberg-nda.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AAE36-20CA-F742-8375-86E009BD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16</Pages>
  <Words>4132</Words>
  <Characters>23554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678</cp:revision>
  <dcterms:created xsi:type="dcterms:W3CDTF">2020-04-13T19:51:00Z</dcterms:created>
  <dcterms:modified xsi:type="dcterms:W3CDTF">2020-05-06T18:33:00Z</dcterms:modified>
</cp:coreProperties>
</file>