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5A28E032"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p>
    <w:p w14:paraId="0BEA1007" w14:textId="29DAD349" w:rsidR="0074442A" w:rsidRDefault="0074442A" w:rsidP="0074442A">
      <w:pPr>
        <w:rPr>
          <w:rFonts w:ascii="Times" w:hAnsi="Times"/>
        </w:rPr>
      </w:pPr>
      <w:r>
        <w:rPr>
          <w:rFonts w:ascii="Times" w:hAnsi="Times"/>
          <w:b/>
          <w:bCs/>
        </w:rPr>
        <w:t xml:space="preserve">Key Words: </w:t>
      </w:r>
      <w:r>
        <w:rPr>
          <w:rFonts w:ascii="Times" w:hAnsi="Times"/>
        </w:rPr>
        <w:t xml:space="preserve">Public Transportation, OLS, Logit Regression, LASSO Regression, Infrastructure Economics, </w:t>
      </w:r>
    </w:p>
    <w:p w14:paraId="4AE862D3" w14:textId="224C1DAD" w:rsidR="0074442A" w:rsidRDefault="0074442A" w:rsidP="0074442A">
      <w:pPr>
        <w:rPr>
          <w:rFonts w:ascii="Times" w:hAnsi="Times"/>
        </w:rPr>
      </w:pPr>
      <w:r>
        <w:rPr>
          <w:rFonts w:ascii="Times" w:hAnsi="Times"/>
          <w:b/>
          <w:bCs/>
        </w:rPr>
        <w:t xml:space="preserve">JEL Codes: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30B5368D" w14:textId="5AC756BF" w:rsidR="00144583" w:rsidRDefault="00144583" w:rsidP="00144583">
      <w:pPr>
        <w:rPr>
          <w:rFonts w:ascii="Times" w:hAnsi="Times"/>
          <w:b/>
          <w:bCs/>
        </w:rPr>
      </w:pPr>
    </w:p>
    <w:p w14:paraId="2C57B8F3" w14:textId="7D7E2B9E" w:rsidR="00B81CD5" w:rsidRPr="00B81CD5" w:rsidRDefault="00B81CD5" w:rsidP="00E54274">
      <w:pPr>
        <w:ind w:left="360"/>
        <w:rPr>
          <w:rFonts w:ascii="Times" w:hAnsi="Times"/>
        </w:rPr>
      </w:pPr>
    </w:p>
    <w:p w14:paraId="67AFC97D" w14:textId="7A6FACD6" w:rsidR="001D01B9" w:rsidRDefault="001D01B9" w:rsidP="00593E99">
      <w:pPr>
        <w:spacing w:line="360" w:lineRule="auto"/>
        <w:ind w:firstLine="360"/>
        <w:rPr>
          <w:rFonts w:ascii="Times" w:hAnsi="Times"/>
        </w:rPr>
      </w:pPr>
      <w:r>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 xml:space="preserve">can be used to gauge accessibility </w:t>
      </w:r>
      <w:r w:rsidR="00CB6604">
        <w:rPr>
          <w:rFonts w:ascii="Times" w:hAnsi="Times"/>
        </w:rPr>
        <w:t xml:space="preserve">to public transportation </w:t>
      </w:r>
      <w:r w:rsidR="00DE271F">
        <w:rPr>
          <w:rFonts w:ascii="Times" w:hAnsi="Times"/>
        </w:rPr>
        <w:t xml:space="preserve">which is </w:t>
      </w:r>
      <w:r w:rsidR="009479AF">
        <w:rPr>
          <w:rFonts w:ascii="Times" w:hAnsi="Times"/>
        </w:rPr>
        <w:t xml:space="preserve">a key component of whether or not </w:t>
      </w:r>
      <w:r w:rsidR="00AC5263">
        <w:rPr>
          <w:rFonts w:ascii="Times" w:hAnsi="Times"/>
        </w:rPr>
        <w:t xml:space="preserve">individuals actually opt to use it. </w:t>
      </w:r>
    </w:p>
    <w:p w14:paraId="0B63026F" w14:textId="697126F7" w:rsidR="00144583" w:rsidRDefault="008E00E1" w:rsidP="001D01B9">
      <w:pPr>
        <w:spacing w:line="360" w:lineRule="auto"/>
        <w:ind w:firstLine="360"/>
        <w:rPr>
          <w:rFonts w:ascii="Times" w:hAnsi="Times"/>
        </w:rPr>
      </w:pPr>
      <w:r>
        <w:rPr>
          <w:rFonts w:ascii="Times" w:hAnsi="Times"/>
        </w:rPr>
        <w:t xml:space="preserve">This paper will supplement existing research by </w:t>
      </w:r>
      <w:r w:rsidR="00FB2B28">
        <w:rPr>
          <w:rFonts w:ascii="Times" w:hAnsi="Times"/>
        </w:rPr>
        <w:t>examining the effect of</w:t>
      </w:r>
      <w:r>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 </w:t>
      </w:r>
      <w:r w:rsidR="00C16D87">
        <w:rPr>
          <w:rFonts w:ascii="Times" w:hAnsi="Times"/>
        </w:rPr>
        <w:t>as well as more generally</w:t>
      </w:r>
      <w:r w:rsidR="00455E84">
        <w:rPr>
          <w:rFonts w:ascii="Times" w:hAnsi="Times"/>
        </w:rPr>
        <w:t>.</w:t>
      </w:r>
      <w:r w:rsidR="00EF269C">
        <w:rPr>
          <w:rFonts w:ascii="Times" w:hAnsi="Times"/>
        </w:rPr>
        <w:t xml:space="preserve"> This paper specifically will aim to develop a machine learning model that can be improved upon and used in the future to </w:t>
      </w:r>
      <w:r w:rsidR="002024AA">
        <w:rPr>
          <w:rFonts w:ascii="Times" w:hAnsi="Times"/>
        </w:rPr>
        <w:t xml:space="preserve">predict demand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 xml:space="preserve">policy makers and urban planners to better allocate infrastructures to </w:t>
      </w:r>
      <w:r w:rsidR="00517C0C">
        <w:rPr>
          <w:rFonts w:ascii="Times" w:hAnsi="Times"/>
        </w:rPr>
        <w:lastRenderedPageBreak/>
        <w:t>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389D226A" w14:textId="48EB3E7A" w:rsidR="00E54274" w:rsidRPr="001D7B36" w:rsidRDefault="00E54274" w:rsidP="001D7B36">
      <w:pPr>
        <w:tabs>
          <w:tab w:val="left" w:pos="413"/>
        </w:tabs>
        <w:spacing w:line="360" w:lineRule="auto"/>
        <w:rPr>
          <w:rFonts w:ascii="Times" w:hAnsi="Times"/>
        </w:rPr>
      </w:pPr>
      <w:r>
        <w:rPr>
          <w:rFonts w:ascii="Times" w:hAnsi="Times"/>
          <w:b/>
          <w:bCs/>
        </w:rPr>
        <w:tab/>
      </w:r>
      <w:r w:rsidR="001D7B36">
        <w:rPr>
          <w:rFonts w:ascii="Times" w:hAnsi="Times"/>
        </w:rPr>
        <w:t xml:space="preserve">In this paper, I attempt to bring together several different avenues of economic thought, specifically focusing on discrete choice theory, estimating demand, and public transportation. </w:t>
      </w:r>
    </w:p>
    <w:p w14:paraId="0B9E8980" w14:textId="77777777" w:rsidR="00E54274" w:rsidRPr="00F178E3" w:rsidRDefault="00E54274" w:rsidP="00F178E3">
      <w:pPr>
        <w:jc w:val="center"/>
        <w:rPr>
          <w:rFonts w:ascii="Times" w:hAnsi="Times"/>
          <w:b/>
          <w:bC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1BB79313"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Data is collected from two types of respondents: occupied housing units and 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w:t>
      </w:r>
      <w:r w:rsidRPr="00C96F2D">
        <w:rPr>
          <w:rFonts w:ascii="Times" w:hAnsi="Times"/>
        </w:rPr>
        <w:lastRenderedPageBreak/>
        <w:t>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49B4D59B" w:rsidR="00144583" w:rsidRDefault="00C96F2D" w:rsidP="00BD7119">
      <w:pPr>
        <w:pStyle w:val="NormalWeb"/>
        <w:spacing w:line="36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findings out of context is not. Recognizing that these observations can be flawed </w:t>
      </w:r>
      <w:r w:rsidR="009E0DB6">
        <w:rPr>
          <w:rFonts w:ascii="Times" w:hAnsi="Times"/>
        </w:rPr>
        <w:t>is critical to our treatment of the findings as estimations.</w:t>
      </w:r>
    </w:p>
    <w:p w14:paraId="79FD7F72" w14:textId="681621C3" w:rsidR="00E63A03" w:rsidRDefault="00605604" w:rsidP="00BD7119">
      <w:pPr>
        <w:pStyle w:val="NormalWeb"/>
        <w:spacing w:line="360" w:lineRule="auto"/>
        <w:ind w:right="-29" w:firstLine="360"/>
        <w:contextualSpacing/>
        <w:rPr>
          <w:rFonts w:ascii="Times" w:hAnsi="Times"/>
        </w:rPr>
      </w:pPr>
      <w:r>
        <w:rPr>
          <w:rFonts w:ascii="Times" w:hAnsi="Times"/>
        </w:rPr>
        <w:t xml:space="preserve">In order to learn more about </w:t>
      </w:r>
      <w:r w:rsidR="006E68ED">
        <w:rPr>
          <w:rFonts w:ascii="Times" w:hAnsi="Times"/>
        </w:rPr>
        <w:t>public transportation usage in America, several categorical variables</w:t>
      </w:r>
      <w:r w:rsidR="00165449">
        <w:rPr>
          <w:rFonts w:ascii="Times" w:hAnsi="Times"/>
        </w:rPr>
        <w:t xml:space="preserve"> were utilized</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t>
      </w:r>
      <w:r w:rsidR="00F17613">
        <w:rPr>
          <w:rFonts w:ascii="Times" w:hAnsi="Times"/>
        </w:rPr>
        <w:lastRenderedPageBreak/>
        <w:t>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341A2F86" w14:textId="2F18A223" w:rsidR="00033F4B" w:rsidRDefault="00033F4B" w:rsidP="00BD7119">
      <w:pPr>
        <w:pStyle w:val="NormalWeb"/>
        <w:spacing w:line="360" w:lineRule="auto"/>
        <w:ind w:right="-29" w:firstLine="360"/>
        <w:contextualSpacing/>
        <w:rPr>
          <w:rFonts w:ascii="Times" w:hAnsi="Times"/>
        </w:rPr>
      </w:pPr>
      <w:r>
        <w:rPr>
          <w:rFonts w:ascii="Times" w:hAnsi="Times"/>
        </w:rPr>
        <w:t xml:space="preserve">Before performing a regression analysis, we can look at the summary statistics to get an initial understanding of our dataset. </w:t>
      </w:r>
      <w:r w:rsidR="00352476">
        <w:rPr>
          <w:rFonts w:ascii="Times" w:hAnsi="Times"/>
        </w:rPr>
        <w:t xml:space="preserve">After removing NA also known as missing variables from the dataset, there were 60,096 total observations. </w:t>
      </w:r>
    </w:p>
    <w:p w14:paraId="5F10E358" w14:textId="373F8D19" w:rsidR="00EB2095" w:rsidRPr="00BD7119" w:rsidRDefault="00EB2095" w:rsidP="00BD7119">
      <w:pPr>
        <w:pStyle w:val="NormalWeb"/>
        <w:spacing w:line="360" w:lineRule="auto"/>
        <w:ind w:right="-29" w:firstLine="360"/>
        <w:contextualSpacing/>
        <w:rPr>
          <w:rFonts w:ascii="Times" w:hAnsi="Times"/>
        </w:rPr>
      </w:pPr>
      <w:r>
        <w:rPr>
          <w:rFonts w:ascii="Times" w:hAnsi="Times"/>
        </w:rPr>
        <w:t xml:space="preserve">For the machine learning model, it is necessary to remove factor variables that have only one level, because this means that there is no difference in condition and all observations share the same value for said variable. </w:t>
      </w:r>
      <w:r w:rsidR="00C34112">
        <w:rPr>
          <w:rFonts w:ascii="Times" w:hAnsi="Times"/>
        </w:rPr>
        <w:t>When doing this in R, the number of variables decreased from 4114 to 3717.</w:t>
      </w:r>
    </w:p>
    <w:p w14:paraId="60CB84B0" w14:textId="342BF588"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3279B1A7" w14:textId="75412512" w:rsidR="0033719E" w:rsidRDefault="0033719E" w:rsidP="0033719E">
      <w:pPr>
        <w:tabs>
          <w:tab w:val="left" w:pos="185"/>
        </w:tabs>
        <w:rPr>
          <w:rFonts w:ascii="Times" w:hAnsi="Times"/>
          <w:b/>
          <w:bCs/>
        </w:rPr>
      </w:pPr>
      <w:r>
        <w:rPr>
          <w:rFonts w:ascii="Times" w:hAnsi="Times"/>
          <w:b/>
          <w:bCs/>
        </w:rPr>
        <w:tab/>
      </w:r>
    </w:p>
    <w:p w14:paraId="4229740F" w14:textId="324264CD" w:rsidR="00DE2FCC" w:rsidRDefault="004A0842" w:rsidP="005D7FED">
      <w:pPr>
        <w:tabs>
          <w:tab w:val="left" w:pos="185"/>
        </w:tabs>
        <w:spacing w:line="360" w:lineRule="auto"/>
        <w:rPr>
          <w:rFonts w:ascii="Times" w:hAnsi="Times"/>
        </w:rPr>
      </w:pPr>
      <w:r>
        <w:rPr>
          <w:rFonts w:ascii="Times" w:hAnsi="Times"/>
        </w:rPr>
        <w:tab/>
      </w:r>
      <w:r w:rsidR="00DE2FCC">
        <w:rPr>
          <w:rFonts w:ascii="Times" w:hAnsi="Times"/>
        </w:rPr>
        <w:t xml:space="preserve">It is important to recognize that due to the nature of the </w:t>
      </w:r>
      <w:r w:rsidR="00607023">
        <w:rPr>
          <w:rFonts w:ascii="Times" w:hAnsi="Times"/>
        </w:rPr>
        <w:t xml:space="preserve">dataset, some groups were better represented than others. </w:t>
      </w:r>
      <w:r w:rsidR="00460168">
        <w:rPr>
          <w:rFonts w:ascii="Times" w:hAnsi="Times"/>
        </w:rPr>
        <w:t>The American Housing Survey is supposed to provide a representative sample of the United States based on housing characteristics</w:t>
      </w:r>
      <w:r w:rsidR="004A2D29">
        <w:rPr>
          <w:rFonts w:ascii="Times" w:hAnsi="Times"/>
        </w:rPr>
        <w:t xml:space="preserve">, but this means that certain populations are given less weight than others because they make up less of the United States population. </w:t>
      </w:r>
    </w:p>
    <w:p w14:paraId="5F381128" w14:textId="24160AC3" w:rsidR="0033719E" w:rsidRPr="0033719E" w:rsidRDefault="00460168" w:rsidP="005D7FED">
      <w:pPr>
        <w:tabs>
          <w:tab w:val="left" w:pos="185"/>
        </w:tabs>
        <w:spacing w:line="36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AF3D474" w:rsidR="00AE7598" w:rsidRPr="00AE7598" w:rsidRDefault="00AE7598" w:rsidP="00344F12">
      <w:pPr>
        <w:spacing w:line="360" w:lineRule="auto"/>
        <w:ind w:firstLine="360"/>
        <w:rPr>
          <w:rFonts w:ascii="Times" w:hAnsi="Times"/>
        </w:rPr>
      </w:pPr>
      <w:r>
        <w:rPr>
          <w:rFonts w:ascii="Times" w:hAnsi="Times"/>
        </w:rPr>
        <w:t xml:space="preserve">Other topics that beg further questioning 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included in other versions of the American Housing Survey such as </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08AC4483" w:rsidR="00B208CB" w:rsidRDefault="00224975" w:rsidP="00B208CB">
      <w:pPr>
        <w:rPr>
          <w:b/>
          <w:bCs/>
          <w:color w:val="333333"/>
          <w:shd w:val="clear" w:color="auto" w:fill="FFFFFF"/>
        </w:rPr>
      </w:pPr>
      <w:r>
        <w:rPr>
          <w:b/>
          <w:bCs/>
          <w:color w:val="333333"/>
          <w:shd w:val="clear" w:color="auto" w:fill="FFFFFF"/>
        </w:rPr>
        <w:lastRenderedPageBreak/>
        <w:t>(APA Style)</w:t>
      </w:r>
    </w:p>
    <w:p w14:paraId="5368CBE2" w14:textId="77777777" w:rsidR="00224975" w:rsidRDefault="00224975" w:rsidP="00B208CB">
      <w:pPr>
        <w:rPr>
          <w:b/>
          <w:bCs/>
          <w:color w:val="333333"/>
          <w:shd w:val="clear" w:color="auto" w:fill="FFFFFF"/>
        </w:rPr>
      </w:pPr>
    </w:p>
    <w:p w14:paraId="049BEE31" w14:textId="2FC69DD8" w:rsidR="00326954" w:rsidRPr="008D05D2" w:rsidRDefault="00326954" w:rsidP="00326954">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sidR="00457797">
        <w:rPr>
          <w:color w:val="333333"/>
          <w:shd w:val="clear" w:color="auto" w:fill="FFFFFF"/>
        </w:rPr>
        <w:t xml:space="preserve">Appendix B. Sample Design and Weighting: 2013.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7" w:history="1">
        <w:r w:rsidR="00224975">
          <w:rPr>
            <w:rStyle w:val="Hyperlink"/>
          </w:rPr>
          <w:t>https://www2.census.gov/programs-</w:t>
        </w:r>
        <w:r w:rsidR="00224975">
          <w:rPr>
            <w:rStyle w:val="Hyperlink"/>
          </w:rPr>
          <w:t>s</w:t>
        </w:r>
        <w:r w:rsidR="00224975">
          <w:rPr>
            <w:rStyle w:val="Hyperlink"/>
          </w:rPr>
          <w:t>urveys/ahs/2013/2013%20AHS%20National%20Sample%20Design%20and%20Weighting.pdf?#</w:t>
        </w:r>
      </w:hyperlink>
    </w:p>
    <w:p w14:paraId="0C36CE9F" w14:textId="77777777" w:rsidR="00224975" w:rsidRDefault="00326954" w:rsidP="00224975">
      <w:pPr>
        <w:rPr>
          <w:b/>
          <w:bCs/>
          <w:color w:val="333333"/>
          <w:shd w:val="clear" w:color="auto" w:fill="FFFFFF"/>
        </w:rPr>
      </w:pPr>
      <w:r w:rsidRPr="00B208CB">
        <w:fldChar w:fldCharType="end"/>
      </w:r>
    </w:p>
    <w:p w14:paraId="3B3FC41C" w14:textId="436D74D5" w:rsidR="00224975" w:rsidRPr="008D05D2" w:rsidRDefault="00224975" w:rsidP="00224975">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Pr>
          <w:color w:val="333333"/>
          <w:shd w:val="clear" w:color="auto" w:fill="FFFFFF"/>
        </w:rPr>
        <w:t xml:space="preserve">Appendix </w:t>
      </w:r>
      <w:r w:rsidR="00D64D0F">
        <w:rPr>
          <w:color w:val="333333"/>
          <w:shd w:val="clear" w:color="auto" w:fill="FFFFFF"/>
        </w:rPr>
        <w:t>D</w:t>
      </w:r>
      <w:r>
        <w:rPr>
          <w:color w:val="333333"/>
          <w:shd w:val="clear" w:color="auto" w:fill="FFFFFF"/>
        </w:rPr>
        <w:t xml:space="preserve">. </w:t>
      </w:r>
      <w:proofErr w:type="spellStart"/>
      <w:r w:rsidR="00D64D0F">
        <w:rPr>
          <w:color w:val="333333"/>
          <w:shd w:val="clear" w:color="auto" w:fill="FFFFFF"/>
        </w:rPr>
        <w:t>Nonsampling</w:t>
      </w:r>
      <w:proofErr w:type="spellEnd"/>
      <w:r w:rsidR="00D64D0F">
        <w:rPr>
          <w:color w:val="333333"/>
          <w:shd w:val="clear" w:color="auto" w:fill="FFFFFF"/>
        </w:rPr>
        <w:t xml:space="preserve"> and Sampling Errors</w:t>
      </w:r>
      <w:r>
        <w:rPr>
          <w:color w:val="333333"/>
          <w:shd w:val="clear" w:color="auto" w:fill="FFFFFF"/>
        </w:rPr>
        <w:t xml:space="preserve">.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rPr>
          <w:color w:val="333333"/>
          <w:u w:val="single"/>
          <w:shd w:val="clear" w:color="auto" w:fill="FFFFFF"/>
        </w:rPr>
        <w:t xml:space="preserve"> </w:t>
      </w:r>
      <w:hyperlink r:id="rId8" w:history="1">
        <w:r w:rsidR="00D55649" w:rsidRPr="00E84706">
          <w:t>https://www2.census.gov/programs-surveys/ahs/2013/2013%20AHS%20National%20Errors.pdf?#</w:t>
        </w:r>
      </w:hyperlink>
    </w:p>
    <w:p w14:paraId="71156B8A" w14:textId="2742A981" w:rsidR="00326954" w:rsidRDefault="00326954" w:rsidP="00224975">
      <w:pPr>
        <w:rPr>
          <w:b/>
          <w:bCs/>
          <w:color w:val="333333"/>
          <w:shd w:val="clear" w:color="auto" w:fill="FFFFFF"/>
        </w:rPr>
      </w:pPr>
    </w:p>
    <w:p w14:paraId="63B63668" w14:textId="5577D439" w:rsidR="008D05D2" w:rsidRPr="008D05D2" w:rsidRDefault="00B208CB" w:rsidP="008D05D2">
      <w:r w:rsidRPr="00B208CB">
        <w:rPr>
          <w:b/>
          <w:bCs/>
          <w:color w:val="333333"/>
          <w:shd w:val="clear" w:color="auto" w:fill="FFFFFF"/>
        </w:rPr>
        <w:t>US Census Bureau</w:t>
      </w:r>
      <w:r w:rsidRPr="00B208CB">
        <w:rPr>
          <w:color w:val="333333"/>
          <w:shd w:val="clear" w:color="auto" w:fill="FFFFFF"/>
        </w:rPr>
        <w:t>. (201</w:t>
      </w:r>
      <w:r>
        <w:rPr>
          <w:color w:val="333333"/>
          <w:shd w:val="clear" w:color="auto" w:fill="FFFFFF"/>
        </w:rPr>
        <w:t>9</w:t>
      </w:r>
      <w:r w:rsidRPr="00B208CB">
        <w:rPr>
          <w:color w:val="333333"/>
          <w:shd w:val="clear" w:color="auto" w:fill="FFFFFF"/>
        </w:rPr>
        <w:t xml:space="preserve">, </w:t>
      </w:r>
      <w:r>
        <w:rPr>
          <w:color w:val="333333"/>
          <w:shd w:val="clear" w:color="auto" w:fill="FFFFFF"/>
        </w:rPr>
        <w:t>June</w:t>
      </w:r>
      <w:r w:rsidRPr="00B208CB">
        <w:rPr>
          <w:color w:val="333333"/>
          <w:shd w:val="clear" w:color="auto" w:fill="FFFFFF"/>
        </w:rPr>
        <w:t xml:space="preserve"> </w:t>
      </w:r>
      <w:r>
        <w:rPr>
          <w:color w:val="333333"/>
          <w:shd w:val="clear" w:color="auto" w:fill="FFFFFF"/>
        </w:rPr>
        <w:t>26</w:t>
      </w:r>
      <w:r w:rsidRPr="00B208CB">
        <w:rPr>
          <w:color w:val="333333"/>
          <w:shd w:val="clear" w:color="auto" w:fill="FFFFFF"/>
        </w:rPr>
        <w:t xml:space="preserve">). </w:t>
      </w:r>
      <w:r w:rsidR="00DF4D39">
        <w:rPr>
          <w:color w:val="333333"/>
          <w:shd w:val="clear" w:color="auto" w:fill="FFFFFF"/>
        </w:rPr>
        <w:t>AHS 2013 National Public Use File (PUF).</w:t>
      </w:r>
      <w:r w:rsidRPr="00B208CB">
        <w:rPr>
          <w:color w:val="333333"/>
          <w:shd w:val="clear" w:color="auto" w:fill="FFFFFF"/>
        </w:rPr>
        <w:t xml:space="preserve"> Retrieved </w:t>
      </w:r>
      <w:r w:rsidR="008D05D2">
        <w:rPr>
          <w:color w:val="333333"/>
          <w:shd w:val="clear" w:color="auto" w:fill="FFFFFF"/>
        </w:rPr>
        <w:t>February</w:t>
      </w:r>
      <w:r w:rsidRPr="00B208CB">
        <w:rPr>
          <w:color w:val="333333"/>
          <w:shd w:val="clear" w:color="auto" w:fill="FFFFFF"/>
        </w:rPr>
        <w:t xml:space="preserve"> 1, 20</w:t>
      </w:r>
      <w:r w:rsidR="008D05D2">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9" w:history="1">
        <w:r w:rsidR="008D05D2" w:rsidRPr="008D05D2">
          <w:rPr>
            <w:color w:val="0000FF"/>
            <w:u w:val="single"/>
          </w:rPr>
          <w:t>https://www.census.gov/programs-surveys/ahs/data/2013/ahs-2013-public-use-file--puf-/ahs-2013-national-public-use-file--puf-.html</w:t>
        </w:r>
      </w:hyperlink>
    </w:p>
    <w:p w14:paraId="35D4E7FA" w14:textId="63EC9F1C" w:rsidR="00B208CB" w:rsidRPr="009B0B5F" w:rsidRDefault="00B208CB" w:rsidP="00B208CB">
      <w:r w:rsidRPr="00B208CB">
        <w:fldChar w:fldCharType="end"/>
      </w:r>
    </w:p>
    <w:p w14:paraId="57FC1577" w14:textId="4CD70148" w:rsidR="00536CEE" w:rsidRPr="00536CEE" w:rsidRDefault="00536CEE"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 January 6</w:t>
      </w:r>
      <w:r w:rsidRPr="00B208CB">
        <w:rPr>
          <w:color w:val="333333"/>
          <w:shd w:val="clear" w:color="auto" w:fill="FFFFFF"/>
        </w:rPr>
        <w:t>). American Housing Survey (AHS)</w:t>
      </w:r>
      <w:r w:rsidR="0034609A">
        <w:rPr>
          <w:color w:val="333333"/>
          <w:shd w:val="clear" w:color="auto" w:fill="FFFFFF"/>
        </w:rPr>
        <w:t xml:space="preserve"> About</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hyperlink r:id="rId10" w:history="1">
        <w:r w:rsidRPr="00B208CB">
          <w:rPr>
            <w:color w:val="333333"/>
            <w:u w:val="single"/>
            <w:shd w:val="clear" w:color="auto" w:fill="FFFFFF"/>
          </w:rPr>
          <w:t xml:space="preserve"> </w:t>
        </w:r>
        <w:r w:rsidRPr="00B208CB">
          <w:rPr>
            <w:color w:val="1155CC"/>
            <w:u w:val="single"/>
            <w:shd w:val="clear" w:color="auto" w:fill="FFFFFF"/>
          </w:rPr>
          <w:t>https://www.census.gov/programs-surveys/ahs/about.html</w:t>
        </w:r>
      </w:hyperlink>
    </w:p>
    <w:p w14:paraId="611217E3" w14:textId="77777777" w:rsidR="00536CEE" w:rsidRDefault="00536CEE" w:rsidP="009B0B5F">
      <w:pPr>
        <w:rPr>
          <w:b/>
          <w:bCs/>
          <w:color w:val="333333"/>
          <w:shd w:val="clear" w:color="auto" w:fill="FFFFFF"/>
        </w:rPr>
      </w:pPr>
    </w:p>
    <w:p w14:paraId="547998BF" w14:textId="7C986142" w:rsidR="009B0B5F" w:rsidRDefault="009B0B5F"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w:t>
      </w:r>
      <w:r>
        <w:rPr>
          <w:color w:val="333333"/>
          <w:shd w:val="clear" w:color="auto" w:fill="FFFFFF"/>
        </w:rPr>
        <w:t>, January 6</w:t>
      </w:r>
      <w:r w:rsidRPr="00B208CB">
        <w:rPr>
          <w:color w:val="333333"/>
          <w:shd w:val="clear" w:color="auto" w:fill="FFFFFF"/>
        </w:rPr>
        <w:t>). American Housing Survey (AHS)</w:t>
      </w:r>
      <w:r w:rsidR="0034609A">
        <w:rPr>
          <w:color w:val="333333"/>
          <w:shd w:val="clear" w:color="auto" w:fill="FFFFFF"/>
        </w:rPr>
        <w:t xml:space="preserve"> Methodology</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"https://www.census.gov/programs-surveys/ahs/about.html" </w:instrText>
      </w:r>
      <w:r w:rsidRPr="00B208CB">
        <w:fldChar w:fldCharType="separate"/>
      </w:r>
      <w:r w:rsidRPr="00B208CB">
        <w:rPr>
          <w:color w:val="333333"/>
          <w:u w:val="single"/>
          <w:shd w:val="clear" w:color="auto" w:fill="FFFFFF"/>
        </w:rPr>
        <w:t xml:space="preserve"> </w:t>
      </w:r>
      <w:hyperlink r:id="rId11" w:history="1">
        <w:r>
          <w:rPr>
            <w:rStyle w:val="Hyperlink"/>
          </w:rPr>
          <w:t>https://www.census.gov/programs-surveys/ahs/about/methodology.html</w:t>
        </w:r>
      </w:hyperlink>
    </w:p>
    <w:p w14:paraId="45095D0C" w14:textId="5927E758" w:rsidR="00B208CB" w:rsidRDefault="009B0B5F" w:rsidP="00B208CB">
      <w:r w:rsidRPr="00B208CB">
        <w:fldChar w:fldCharType="end"/>
      </w:r>
    </w:p>
    <w:p w14:paraId="1C8EE990" w14:textId="77777777" w:rsidR="00E84706" w:rsidRDefault="00E84706" w:rsidP="00E84706">
      <w:r w:rsidRPr="00773901">
        <w:rPr>
          <w:b/>
          <w:bCs/>
        </w:rPr>
        <w:t>US Census Bureau</w:t>
      </w:r>
      <w:r>
        <w:t xml:space="preserve">. (2020). AHS Codebook. Retrieved February 1, 2020, from </w:t>
      </w:r>
      <w:hyperlink r:id="rId12" w:history="1">
        <w:r>
          <w:rPr>
            <w:rStyle w:val="Hyperlink"/>
          </w:rPr>
          <w:t>https://www.census.gov/data-tools/demo/codebook/ahs/ahsdict.html</w:t>
        </w:r>
      </w:hyperlink>
    </w:p>
    <w:p w14:paraId="6AE2FE3F" w14:textId="31A2F076" w:rsidR="00E84706" w:rsidRPr="00536CEE" w:rsidRDefault="00E84706" w:rsidP="00B208CB"/>
    <w:sectPr w:rsidR="00E84706" w:rsidRPr="00536CEE"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86C8F" w14:textId="77777777" w:rsidR="005F6816" w:rsidRDefault="005F6816" w:rsidP="00BC1867">
      <w:r>
        <w:separator/>
      </w:r>
    </w:p>
  </w:endnote>
  <w:endnote w:type="continuationSeparator" w:id="0">
    <w:p w14:paraId="58774870" w14:textId="77777777" w:rsidR="005F6816" w:rsidRDefault="005F6816"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0A1B9" w14:textId="77777777" w:rsidR="005F6816" w:rsidRDefault="005F6816" w:rsidP="00BC1867">
      <w:r>
        <w:separator/>
      </w:r>
    </w:p>
  </w:footnote>
  <w:footnote w:type="continuationSeparator" w:id="0">
    <w:p w14:paraId="76247BAF" w14:textId="77777777" w:rsidR="005F6816" w:rsidRDefault="005F6816"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BC1867" w:rsidRDefault="00BC1867" w:rsidP="00D103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BC1867" w:rsidRDefault="00BC1867"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BC1867" w:rsidRPr="00BC1867" w:rsidRDefault="00BC1867" w:rsidP="00D10337">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BC1867" w:rsidRDefault="00BC1867"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1537C"/>
    <w:rsid w:val="00033F4B"/>
    <w:rsid w:val="0009703F"/>
    <w:rsid w:val="000B7B7E"/>
    <w:rsid w:val="001206F4"/>
    <w:rsid w:val="00144583"/>
    <w:rsid w:val="00165449"/>
    <w:rsid w:val="00175E9F"/>
    <w:rsid w:val="00177D34"/>
    <w:rsid w:val="001D01B9"/>
    <w:rsid w:val="001D7B36"/>
    <w:rsid w:val="002024AA"/>
    <w:rsid w:val="00224975"/>
    <w:rsid w:val="00257535"/>
    <w:rsid w:val="002756C5"/>
    <w:rsid w:val="002945D4"/>
    <w:rsid w:val="00295D34"/>
    <w:rsid w:val="002B2EA5"/>
    <w:rsid w:val="002D6813"/>
    <w:rsid w:val="0032186F"/>
    <w:rsid w:val="00326954"/>
    <w:rsid w:val="0033719E"/>
    <w:rsid w:val="00340786"/>
    <w:rsid w:val="00344F12"/>
    <w:rsid w:val="0034609A"/>
    <w:rsid w:val="00352476"/>
    <w:rsid w:val="00362C7C"/>
    <w:rsid w:val="00365D39"/>
    <w:rsid w:val="003C49B3"/>
    <w:rsid w:val="003F35A4"/>
    <w:rsid w:val="004268C4"/>
    <w:rsid w:val="00431163"/>
    <w:rsid w:val="00436602"/>
    <w:rsid w:val="00455E84"/>
    <w:rsid w:val="00457797"/>
    <w:rsid w:val="00460168"/>
    <w:rsid w:val="0048376B"/>
    <w:rsid w:val="004A0842"/>
    <w:rsid w:val="004A2D29"/>
    <w:rsid w:val="004B2A83"/>
    <w:rsid w:val="004F4AC4"/>
    <w:rsid w:val="00517C0C"/>
    <w:rsid w:val="00536CEE"/>
    <w:rsid w:val="005478AC"/>
    <w:rsid w:val="00553395"/>
    <w:rsid w:val="005822E4"/>
    <w:rsid w:val="00593E99"/>
    <w:rsid w:val="005A35DC"/>
    <w:rsid w:val="005C69DB"/>
    <w:rsid w:val="005D7FED"/>
    <w:rsid w:val="005F6816"/>
    <w:rsid w:val="005F7751"/>
    <w:rsid w:val="00605604"/>
    <w:rsid w:val="00607023"/>
    <w:rsid w:val="00620BF5"/>
    <w:rsid w:val="0066502F"/>
    <w:rsid w:val="00692412"/>
    <w:rsid w:val="00697CD7"/>
    <w:rsid w:val="006E68ED"/>
    <w:rsid w:val="0070103F"/>
    <w:rsid w:val="0074442A"/>
    <w:rsid w:val="00763C94"/>
    <w:rsid w:val="00773901"/>
    <w:rsid w:val="008564A1"/>
    <w:rsid w:val="00870B09"/>
    <w:rsid w:val="00883EA9"/>
    <w:rsid w:val="0088613C"/>
    <w:rsid w:val="008C274F"/>
    <w:rsid w:val="008C3851"/>
    <w:rsid w:val="008D05D2"/>
    <w:rsid w:val="008D5050"/>
    <w:rsid w:val="008E00E1"/>
    <w:rsid w:val="009119CF"/>
    <w:rsid w:val="009479AF"/>
    <w:rsid w:val="009A5B21"/>
    <w:rsid w:val="009A6870"/>
    <w:rsid w:val="009B0B5F"/>
    <w:rsid w:val="009E0DB6"/>
    <w:rsid w:val="00AA11AD"/>
    <w:rsid w:val="00AC5263"/>
    <w:rsid w:val="00AE7598"/>
    <w:rsid w:val="00B17233"/>
    <w:rsid w:val="00B208CB"/>
    <w:rsid w:val="00B214C8"/>
    <w:rsid w:val="00B40CE7"/>
    <w:rsid w:val="00B74AC2"/>
    <w:rsid w:val="00B81CD5"/>
    <w:rsid w:val="00BC1867"/>
    <w:rsid w:val="00BD6571"/>
    <w:rsid w:val="00BD7119"/>
    <w:rsid w:val="00BE5615"/>
    <w:rsid w:val="00C16D87"/>
    <w:rsid w:val="00C34112"/>
    <w:rsid w:val="00C4399A"/>
    <w:rsid w:val="00C55DC0"/>
    <w:rsid w:val="00C96F2D"/>
    <w:rsid w:val="00CB6604"/>
    <w:rsid w:val="00D21FBC"/>
    <w:rsid w:val="00D55649"/>
    <w:rsid w:val="00D64D0F"/>
    <w:rsid w:val="00DE271F"/>
    <w:rsid w:val="00DE2FCC"/>
    <w:rsid w:val="00DF4D39"/>
    <w:rsid w:val="00E002F4"/>
    <w:rsid w:val="00E048AC"/>
    <w:rsid w:val="00E277DF"/>
    <w:rsid w:val="00E54274"/>
    <w:rsid w:val="00E63A03"/>
    <w:rsid w:val="00E84706"/>
    <w:rsid w:val="00E93ADC"/>
    <w:rsid w:val="00EB2095"/>
    <w:rsid w:val="00EE2BD3"/>
    <w:rsid w:val="00EF269C"/>
    <w:rsid w:val="00F17613"/>
    <w:rsid w:val="00F178E3"/>
    <w:rsid w:val="00F41A74"/>
    <w:rsid w:val="00F716CF"/>
    <w:rsid w:val="00FB2B28"/>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109</cp:revision>
  <dcterms:created xsi:type="dcterms:W3CDTF">2020-03-19T16:51:00Z</dcterms:created>
  <dcterms:modified xsi:type="dcterms:W3CDTF">2020-03-27T17:15:00Z</dcterms:modified>
</cp:coreProperties>
</file>