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F3E54" w14:textId="309E1C14" w:rsidR="00B45EF9" w:rsidRPr="009A372E" w:rsidRDefault="00F94B14" w:rsidP="009A372E">
      <w:pPr>
        <w:pStyle w:val="Titolo1"/>
        <w:jc w:val="both"/>
        <w:rPr>
          <w:rFonts w:ascii="Times New Roman" w:hAnsi="Times New Roman" w:cs="Times New Roman"/>
          <w:color w:val="auto"/>
          <w:sz w:val="38"/>
          <w:szCs w:val="38"/>
        </w:rPr>
      </w:pPr>
      <w:r w:rsidRPr="00574D04">
        <w:rPr>
          <w:rFonts w:ascii="Times New Roman" w:hAnsi="Times New Roman" w:cs="Times New Roman"/>
          <w:color w:val="auto"/>
          <w:sz w:val="38"/>
          <w:szCs w:val="38"/>
        </w:rPr>
        <w:t>Relazione sull'Utilizzo dei Dati: Progetto di Analisi COVID-19</w:t>
      </w:r>
    </w:p>
    <w:p w14:paraId="1D92AE0E" w14:textId="77777777" w:rsidR="005A3659" w:rsidRPr="00D656C2" w:rsidRDefault="00F94B14" w:rsidP="00B56067">
      <w:p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b/>
          <w:bCs/>
        </w:rPr>
        <w:t>Cliente:</w:t>
      </w:r>
      <w:r w:rsidRPr="00D656C2">
        <w:rPr>
          <w:rFonts w:ascii="Times New Roman" w:hAnsi="Times New Roman" w:cs="Times New Roman"/>
        </w:rPr>
        <w:t xml:space="preserve"> XYFARMA </w:t>
      </w:r>
    </w:p>
    <w:p w14:paraId="14BED4B0" w14:textId="5748C3F7" w:rsidR="00F94B14" w:rsidRPr="00D656C2" w:rsidRDefault="00F94B14" w:rsidP="00B56067">
      <w:p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b/>
          <w:bCs/>
        </w:rPr>
        <w:t>Obiettivo:</w:t>
      </w:r>
      <w:r w:rsidRPr="00D656C2">
        <w:rPr>
          <w:rFonts w:ascii="Times New Roman" w:hAnsi="Times New Roman" w:cs="Times New Roman"/>
        </w:rPr>
        <w:t xml:space="preserve"> Analisi dei dati COVID-19 (Contagiati, Deceduti, Guariti, Vaccinati) dal 2020 ad oggi per supportare la decisione strategica sullo sviluppo di un nuovo vaccino anti-Covid.</w:t>
      </w:r>
    </w:p>
    <w:p w14:paraId="77F22C3D" w14:textId="77777777" w:rsidR="00F94B14" w:rsidRPr="00D656C2" w:rsidRDefault="00F94B14" w:rsidP="00B56067">
      <w:pPr>
        <w:pStyle w:val="Titolo2"/>
        <w:jc w:val="both"/>
        <w:rPr>
          <w:rFonts w:ascii="Times New Roman" w:hAnsi="Times New Roman" w:cs="Times New Roman"/>
          <w:color w:val="auto"/>
        </w:rPr>
      </w:pPr>
      <w:r w:rsidRPr="00D656C2">
        <w:rPr>
          <w:rFonts w:ascii="Times New Roman" w:hAnsi="Times New Roman" w:cs="Times New Roman"/>
          <w:color w:val="auto"/>
        </w:rPr>
        <w:t>1. La fonte dei dati</w:t>
      </w:r>
    </w:p>
    <w:p w14:paraId="20982B3B" w14:textId="2578BF14" w:rsidR="00F94B14" w:rsidRPr="00D656C2" w:rsidRDefault="00F94B14" w:rsidP="00B56067">
      <w:p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 xml:space="preserve">I dati necessari per l'analisi sono stati estratti da fonti ufficiali governative </w:t>
      </w:r>
      <w:r w:rsidR="00135EC4" w:rsidRPr="00D656C2">
        <w:rPr>
          <w:rFonts w:ascii="Times New Roman" w:hAnsi="Times New Roman" w:cs="Times New Roman"/>
        </w:rPr>
        <w:t>ovvero</w:t>
      </w:r>
      <w:r w:rsidR="009039C8" w:rsidRPr="00D656C2">
        <w:rPr>
          <w:rFonts w:ascii="Times New Roman" w:hAnsi="Times New Roman" w:cs="Times New Roman"/>
        </w:rPr>
        <w:t xml:space="preserve"> il Dipartimento della Protezione Civile</w:t>
      </w:r>
      <w:r w:rsidR="00135EC4" w:rsidRPr="00D656C2">
        <w:rPr>
          <w:rFonts w:ascii="Times New Roman" w:hAnsi="Times New Roman" w:cs="Times New Roman"/>
        </w:rPr>
        <w:t xml:space="preserve"> </w:t>
      </w:r>
      <w:r w:rsidRPr="00D656C2">
        <w:rPr>
          <w:rFonts w:ascii="Times New Roman" w:hAnsi="Times New Roman" w:cs="Times New Roman"/>
        </w:rPr>
        <w:t>messe a disposizione in formato Open Data su GitHub. Nello specifico, sono stati utilizzati i seguenti file fisici:</w:t>
      </w:r>
    </w:p>
    <w:p w14:paraId="08BF2EB5" w14:textId="712C05FA" w:rsidR="00F94B14" w:rsidRPr="00D656C2" w:rsidRDefault="00F94B14" w:rsidP="00B56067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b/>
          <w:bCs/>
        </w:rPr>
        <w:t>Dati Campagna Vaccinale</w:t>
      </w:r>
      <w:r w:rsidR="009039C8" w:rsidRPr="00D656C2">
        <w:rPr>
          <w:rFonts w:ascii="Times New Roman" w:hAnsi="Times New Roman" w:cs="Times New Roman"/>
          <w:b/>
          <w:bCs/>
        </w:rPr>
        <w:t xml:space="preserve"> </w:t>
      </w:r>
      <w:r w:rsidR="0094054F" w:rsidRPr="00D656C2">
        <w:rPr>
          <w:rFonts w:ascii="Times New Roman" w:hAnsi="Times New Roman" w:cs="Times New Roman"/>
          <w:b/>
          <w:bCs/>
        </w:rPr>
        <w:t>(</w:t>
      </w:r>
      <w:hyperlink r:id="rId8" w:history="1">
        <w:r w:rsidR="009039C8" w:rsidRPr="00D656C2">
          <w:rPr>
            <w:rStyle w:val="Collegamentoipertestuale"/>
            <w:rFonts w:ascii="Times New Roman" w:hAnsi="Times New Roman" w:cs="Times New Roman"/>
            <w:b/>
            <w:bCs/>
          </w:rPr>
          <w:t>Link diretto al repo</w:t>
        </w:r>
      </w:hyperlink>
      <w:r w:rsidR="0094054F" w:rsidRPr="00D656C2">
        <w:rPr>
          <w:rFonts w:ascii="Times New Roman" w:hAnsi="Times New Roman" w:cs="Times New Roman"/>
          <w:b/>
          <w:bCs/>
        </w:rPr>
        <w:t>):</w:t>
      </w:r>
      <w:r w:rsidRPr="00D656C2">
        <w:rPr>
          <w:rFonts w:ascii="Times New Roman" w:hAnsi="Times New Roman" w:cs="Times New Roman"/>
        </w:rPr>
        <w:t xml:space="preserve"> File storici annuali (somministrazioni-vaccini-latest-2020.csv, 2021.csv, 2022.csv, 2023.csv). File riepilogativi per campagna vaccinale (somministrazioni-vaccini-summary-latest-campagna-2023-2024.csv, 2024-2025.csv).</w:t>
      </w:r>
    </w:p>
    <w:p w14:paraId="5AB476AC" w14:textId="2DAD6DF0" w:rsidR="009039C8" w:rsidRPr="00D656C2" w:rsidRDefault="00F94B14" w:rsidP="00B56067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b/>
          <w:bCs/>
        </w:rPr>
        <w:t xml:space="preserve">Dati </w:t>
      </w:r>
      <w:proofErr w:type="spellStart"/>
      <w:r w:rsidR="005A3659" w:rsidRPr="00D656C2">
        <w:rPr>
          <w:rFonts w:ascii="Times New Roman" w:hAnsi="Times New Roman" w:cs="Times New Roman"/>
          <w:b/>
          <w:bCs/>
        </w:rPr>
        <w:t>Andamentali</w:t>
      </w:r>
      <w:proofErr w:type="spellEnd"/>
      <w:r w:rsidRPr="00D656C2">
        <w:rPr>
          <w:rFonts w:ascii="Times New Roman" w:hAnsi="Times New Roman" w:cs="Times New Roman"/>
          <w:b/>
          <w:bCs/>
        </w:rPr>
        <w:t xml:space="preserve"> (</w:t>
      </w:r>
      <w:hyperlink r:id="rId9" w:history="1">
        <w:r w:rsidR="0094054F" w:rsidRPr="00D656C2">
          <w:rPr>
            <w:rStyle w:val="Collegamentoipertestuale"/>
            <w:rFonts w:ascii="Times New Roman" w:hAnsi="Times New Roman" w:cs="Times New Roman"/>
            <w:b/>
            <w:bCs/>
          </w:rPr>
          <w:t>Link diretto al repo</w:t>
        </w:r>
      </w:hyperlink>
      <w:r w:rsidRPr="00D656C2">
        <w:rPr>
          <w:rFonts w:ascii="Times New Roman" w:hAnsi="Times New Roman" w:cs="Times New Roman"/>
          <w:b/>
          <w:bCs/>
        </w:rPr>
        <w:t>):</w:t>
      </w:r>
      <w:r w:rsidRPr="00D656C2">
        <w:rPr>
          <w:rFonts w:ascii="Times New Roman" w:hAnsi="Times New Roman" w:cs="Times New Roman"/>
        </w:rPr>
        <w:t xml:space="preserve"> dpc-covid19-ita-regioni.csv, contenente lo storico dei contagi, decessi e guarigioni aggregati a livello regionale.</w:t>
      </w:r>
    </w:p>
    <w:p w14:paraId="231FFA4F" w14:textId="0898F38E" w:rsidR="00FA5EC0" w:rsidRPr="00D656C2" w:rsidRDefault="00706F59" w:rsidP="00B56067">
      <w:pPr>
        <w:ind w:left="720"/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noProof/>
        </w:rPr>
        <w:drawing>
          <wp:inline distT="0" distB="0" distL="0" distR="0" wp14:anchorId="6EC44428" wp14:editId="2611D32B">
            <wp:extent cx="6066670" cy="2405176"/>
            <wp:effectExtent l="0" t="0" r="0" b="0"/>
            <wp:docPr id="182607542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75423" name=""/>
                    <pic:cNvPicPr/>
                  </pic:nvPicPr>
                  <pic:blipFill rotWithShape="1">
                    <a:blip r:embed="rId10"/>
                    <a:srcRect l="424" t="2243" r="442" b="1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107" cy="24053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F60B3B" w14:textId="1D83BDC2" w:rsidR="00B45EF9" w:rsidRDefault="00FE096B" w:rsidP="00223D26">
      <w:pPr>
        <w:jc w:val="both"/>
        <w:rPr>
          <w:rFonts w:ascii="Times New Roman" w:hAnsi="Times New Roman" w:cs="Times New Roman"/>
        </w:rPr>
      </w:pPr>
      <w:r w:rsidRPr="00B56067">
        <w:rPr>
          <w:rFonts w:ascii="Times New Roman" w:hAnsi="Times New Roman" w:cs="Times New Roman"/>
        </w:rPr>
        <w:t xml:space="preserve">Nonostante </w:t>
      </w:r>
      <w:r w:rsidR="0093282D" w:rsidRPr="00B56067">
        <w:rPr>
          <w:rFonts w:ascii="Times New Roman" w:hAnsi="Times New Roman" w:cs="Times New Roman"/>
        </w:rPr>
        <w:t>il repository</w:t>
      </w:r>
      <w:r w:rsidR="00F1577D" w:rsidRPr="00B56067">
        <w:rPr>
          <w:rFonts w:ascii="Times New Roman" w:hAnsi="Times New Roman" w:cs="Times New Roman"/>
        </w:rPr>
        <w:t xml:space="preserve"> delle somministrazioni</w:t>
      </w:r>
      <w:r w:rsidRPr="00B56067">
        <w:rPr>
          <w:rFonts w:ascii="Times New Roman" w:hAnsi="Times New Roman" w:cs="Times New Roman"/>
        </w:rPr>
        <w:t xml:space="preserve"> </w:t>
      </w:r>
      <w:r w:rsidR="00A2368C" w:rsidRPr="00B56067">
        <w:rPr>
          <w:rFonts w:ascii="Times New Roman" w:hAnsi="Times New Roman" w:cs="Times New Roman"/>
        </w:rPr>
        <w:t>vacc</w:t>
      </w:r>
      <w:r w:rsidR="000E3CAF" w:rsidRPr="00B56067">
        <w:rPr>
          <w:rFonts w:ascii="Times New Roman" w:hAnsi="Times New Roman" w:cs="Times New Roman"/>
        </w:rPr>
        <w:t>in</w:t>
      </w:r>
      <w:r w:rsidR="00B56067">
        <w:rPr>
          <w:rFonts w:ascii="Times New Roman" w:hAnsi="Times New Roman" w:cs="Times New Roman"/>
        </w:rPr>
        <w:t>a</w:t>
      </w:r>
      <w:r w:rsidR="00A5291F" w:rsidRPr="00B56067">
        <w:rPr>
          <w:rFonts w:ascii="Times New Roman" w:hAnsi="Times New Roman" w:cs="Times New Roman"/>
        </w:rPr>
        <w:t>li</w:t>
      </w:r>
      <w:r w:rsidR="000E3CAF" w:rsidRPr="00B56067">
        <w:rPr>
          <w:rFonts w:ascii="Times New Roman" w:hAnsi="Times New Roman" w:cs="Times New Roman"/>
        </w:rPr>
        <w:t xml:space="preserve"> </w:t>
      </w:r>
      <w:r w:rsidRPr="00B56067">
        <w:rPr>
          <w:rFonts w:ascii="Times New Roman" w:hAnsi="Times New Roman" w:cs="Times New Roman"/>
        </w:rPr>
        <w:t>avesse rilevazioni di dati fino al 2026, per offrire un’analisi congrua, abbiamo deciso di f</w:t>
      </w:r>
      <w:r w:rsidR="003A2BDC" w:rsidRPr="00B56067">
        <w:rPr>
          <w:rFonts w:ascii="Times New Roman" w:hAnsi="Times New Roman" w:cs="Times New Roman"/>
        </w:rPr>
        <w:t xml:space="preserve">issare </w:t>
      </w:r>
      <w:r w:rsidR="00A5291F" w:rsidRPr="00B56067">
        <w:rPr>
          <w:rFonts w:ascii="Times New Roman" w:hAnsi="Times New Roman" w:cs="Times New Roman"/>
        </w:rPr>
        <w:t xml:space="preserve">come </w:t>
      </w:r>
      <w:r w:rsidR="00A5291F" w:rsidRPr="00DE4D72">
        <w:rPr>
          <w:rFonts w:ascii="Times New Roman" w:hAnsi="Times New Roman" w:cs="Times New Roman"/>
          <w:b/>
          <w:bCs/>
        </w:rPr>
        <w:t>ultima data i</w:t>
      </w:r>
      <w:r w:rsidRPr="00DE4D72">
        <w:rPr>
          <w:rFonts w:ascii="Times New Roman" w:hAnsi="Times New Roman" w:cs="Times New Roman"/>
          <w:b/>
          <w:bCs/>
        </w:rPr>
        <w:t>l 7 gennaio 2025</w:t>
      </w:r>
      <w:r w:rsidR="00D004BB">
        <w:rPr>
          <w:rFonts w:ascii="Times New Roman" w:hAnsi="Times New Roman" w:cs="Times New Roman"/>
        </w:rPr>
        <w:t xml:space="preserve">, corrispondente all’ultima </w:t>
      </w:r>
      <w:r w:rsidR="00D04A6C" w:rsidRPr="00B56067">
        <w:rPr>
          <w:rFonts w:ascii="Times New Roman" w:hAnsi="Times New Roman" w:cs="Times New Roman"/>
        </w:rPr>
        <w:t xml:space="preserve">data di raccolta dati su </w:t>
      </w:r>
      <w:r w:rsidR="00222BDA" w:rsidRPr="00B56067">
        <w:rPr>
          <w:rFonts w:ascii="Times New Roman" w:hAnsi="Times New Roman" w:cs="Times New Roman"/>
        </w:rPr>
        <w:t>contagiati, deceduti e guariti</w:t>
      </w:r>
      <w:r w:rsidR="00D04A6C" w:rsidRPr="00B56067">
        <w:rPr>
          <w:rFonts w:ascii="Times New Roman" w:hAnsi="Times New Roman" w:cs="Times New Roman"/>
        </w:rPr>
        <w:t xml:space="preserve"> da parte </w:t>
      </w:r>
      <w:r w:rsidR="007C086F" w:rsidRPr="00B56067">
        <w:rPr>
          <w:rFonts w:ascii="Times New Roman" w:hAnsi="Times New Roman" w:cs="Times New Roman"/>
        </w:rPr>
        <w:t xml:space="preserve">del Ministero della Salute, così </w:t>
      </w:r>
      <w:r w:rsidR="00B56067" w:rsidRPr="00B56067">
        <w:rPr>
          <w:rFonts w:ascii="Times New Roman" w:hAnsi="Times New Roman" w:cs="Times New Roman"/>
        </w:rPr>
        <w:t>da garantire l’omogeneità temporale</w:t>
      </w:r>
      <w:r w:rsidR="00312DA8">
        <w:rPr>
          <w:rFonts w:ascii="Times New Roman" w:hAnsi="Times New Roman" w:cs="Times New Roman"/>
        </w:rPr>
        <w:t xml:space="preserve"> tra le fonti utilizzate.</w:t>
      </w:r>
    </w:p>
    <w:p w14:paraId="28CFCA17" w14:textId="77777777" w:rsidR="00075381" w:rsidRDefault="00075381" w:rsidP="00223D26">
      <w:pPr>
        <w:jc w:val="both"/>
        <w:rPr>
          <w:rFonts w:ascii="Times New Roman" w:hAnsi="Times New Roman" w:cs="Times New Roman"/>
        </w:rPr>
      </w:pPr>
    </w:p>
    <w:p w14:paraId="394EF2D2" w14:textId="6213788B" w:rsidR="00F94B14" w:rsidRPr="00D656C2" w:rsidRDefault="00F94B14" w:rsidP="00B56067">
      <w:pPr>
        <w:pStyle w:val="Titolo2"/>
        <w:jc w:val="both"/>
        <w:rPr>
          <w:rFonts w:ascii="Times New Roman" w:hAnsi="Times New Roman" w:cs="Times New Roman"/>
          <w:color w:val="auto"/>
        </w:rPr>
      </w:pPr>
      <w:r w:rsidRPr="00D656C2">
        <w:rPr>
          <w:rFonts w:ascii="Times New Roman" w:hAnsi="Times New Roman" w:cs="Times New Roman"/>
          <w:color w:val="auto"/>
        </w:rPr>
        <w:t>2. Breve descrizione del contenuto</w:t>
      </w:r>
    </w:p>
    <w:p w14:paraId="685F02D8" w14:textId="77777777" w:rsidR="002A0B8B" w:rsidRDefault="00F94B14" w:rsidP="00B56067">
      <w:p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 xml:space="preserve">I dataset raccolti contengono informazioni dettagliate sull’andamento della pandemia di COVID-19 in Italia, coprendo il periodo dal 2020 fino </w:t>
      </w:r>
      <w:r w:rsidR="004226D8" w:rsidRPr="00D656C2">
        <w:rPr>
          <w:rFonts w:ascii="Times New Roman" w:hAnsi="Times New Roman" w:cs="Times New Roman"/>
        </w:rPr>
        <w:t>a</w:t>
      </w:r>
      <w:r w:rsidRPr="00D656C2">
        <w:rPr>
          <w:rFonts w:ascii="Times New Roman" w:hAnsi="Times New Roman" w:cs="Times New Roman"/>
        </w:rPr>
        <w:t xml:space="preserve"> inizio 2025. </w:t>
      </w:r>
    </w:p>
    <w:p w14:paraId="4566894B" w14:textId="792DAD51" w:rsidR="004226D8" w:rsidRPr="00D656C2" w:rsidRDefault="00F94B14" w:rsidP="00B56067">
      <w:p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 xml:space="preserve">All'interno si trovano i parametri fondamentali che descrivono l'evoluzione dell'emergenza sanitaria: il numero totale dei contagiati, dei deceduti, dei guariti e il dettaglio puntuale delle dosi di vaccino somministrate (suddivise per anno solare e per specifiche campagne vaccinali recenti). </w:t>
      </w:r>
    </w:p>
    <w:p w14:paraId="24C62221" w14:textId="32A0298B" w:rsidR="00F94B14" w:rsidRDefault="00F94B14" w:rsidP="00B56067">
      <w:p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lastRenderedPageBreak/>
        <w:t>Tutti i dati sono storicizzati e organizzati per data e per Regione, permettendo di delineare con precisione la curva di andamento temporale della diffusione del virus e della risposta immunitaria nel corso degli anni.</w:t>
      </w:r>
    </w:p>
    <w:p w14:paraId="46E775B8" w14:textId="77777777" w:rsidR="00B45EF9" w:rsidRPr="00D656C2" w:rsidRDefault="00B45EF9" w:rsidP="00B56067">
      <w:pPr>
        <w:jc w:val="both"/>
        <w:rPr>
          <w:rFonts w:ascii="Times New Roman" w:hAnsi="Times New Roman" w:cs="Times New Roman"/>
        </w:rPr>
      </w:pPr>
    </w:p>
    <w:p w14:paraId="60181C89" w14:textId="77777777" w:rsidR="00F94B14" w:rsidRPr="00D656C2" w:rsidRDefault="00F94B14" w:rsidP="00B56067">
      <w:pPr>
        <w:pStyle w:val="Titolo2"/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>3. Classificazione 5 stelle delle fonti scelte</w:t>
      </w:r>
    </w:p>
    <w:p w14:paraId="180B97BA" w14:textId="77777777" w:rsidR="00F94B14" w:rsidRPr="00D656C2" w:rsidRDefault="00F94B14" w:rsidP="00B56067">
      <w:p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 xml:space="preserve">I dataset selezionati raggiungono una classificazione a </w:t>
      </w:r>
      <w:proofErr w:type="gramStart"/>
      <w:r w:rsidRPr="00D656C2">
        <w:rPr>
          <w:rFonts w:ascii="Times New Roman" w:hAnsi="Times New Roman" w:cs="Times New Roman"/>
        </w:rPr>
        <w:t>3</w:t>
      </w:r>
      <w:proofErr w:type="gramEnd"/>
      <w:r w:rsidRPr="00D656C2">
        <w:rPr>
          <w:rFonts w:ascii="Times New Roman" w:hAnsi="Times New Roman" w:cs="Times New Roman"/>
        </w:rPr>
        <w:t xml:space="preserve"> stelle per gli Open Data, poiché:</w:t>
      </w:r>
    </w:p>
    <w:p w14:paraId="0FC879E3" w14:textId="77777777" w:rsidR="00F94B14" w:rsidRPr="00D656C2" w:rsidRDefault="00F94B14" w:rsidP="00B56067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>I dati sono resi disponibili online liberamente (1 stella).</w:t>
      </w:r>
    </w:p>
    <w:p w14:paraId="18F8BF9A" w14:textId="77777777" w:rsidR="00F94B14" w:rsidRPr="00D656C2" w:rsidRDefault="00F94B14" w:rsidP="00B56067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>Sono forniti in un formato strutturato e leggibile dalle macchine (2 stella).</w:t>
      </w:r>
    </w:p>
    <w:p w14:paraId="7BBEEDE5" w14:textId="4CACFD77" w:rsidR="00DB383B" w:rsidRDefault="00F94B14" w:rsidP="00B56067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>Utilizzano formati non proprietari e aperti, nello specifico il formato CSV (3 stelle).</w:t>
      </w:r>
    </w:p>
    <w:p w14:paraId="51EA09A1" w14:textId="77777777" w:rsidR="00B45EF9" w:rsidRPr="00D656C2" w:rsidRDefault="00B45EF9" w:rsidP="00B56067">
      <w:pPr>
        <w:ind w:left="360"/>
        <w:jc w:val="both"/>
        <w:rPr>
          <w:rFonts w:ascii="Times New Roman" w:hAnsi="Times New Roman" w:cs="Times New Roman"/>
        </w:rPr>
      </w:pPr>
    </w:p>
    <w:p w14:paraId="31FFF155" w14:textId="31016538" w:rsidR="00F94B14" w:rsidRPr="00D656C2" w:rsidRDefault="000836B0" w:rsidP="00B56067">
      <w:pPr>
        <w:pStyle w:val="Titolo2"/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>4</w:t>
      </w:r>
      <w:r w:rsidR="00F94B14" w:rsidRPr="00D656C2">
        <w:rPr>
          <w:rFonts w:ascii="Times New Roman" w:hAnsi="Times New Roman" w:cs="Times New Roman"/>
        </w:rPr>
        <w:t>. Domande da porre al cliente e strumenti necessari</w:t>
      </w:r>
    </w:p>
    <w:p w14:paraId="42DA1FD2" w14:textId="77777777" w:rsidR="00F94B14" w:rsidRPr="00D656C2" w:rsidRDefault="00F94B14" w:rsidP="00B56067">
      <w:p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>Per comprendere nel dettaglio le necessità di XYFARMA e orientare correttamente la fase di Data Analysis e Reportistica, è fondamentale porre le seguenti domande al cliente:</w:t>
      </w:r>
    </w:p>
    <w:p w14:paraId="4503A23E" w14:textId="7C9777B6" w:rsidR="00F94B14" w:rsidRPr="00D656C2" w:rsidRDefault="00F94B14" w:rsidP="00B56067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 xml:space="preserve">Qual è l’obiettivo principale e il KPI </w:t>
      </w:r>
      <w:r w:rsidR="00641B69" w:rsidRPr="00D656C2">
        <w:rPr>
          <w:rFonts w:ascii="Times New Roman" w:hAnsi="Times New Roman" w:cs="Times New Roman"/>
        </w:rPr>
        <w:t>su cui si deve basare l’analisi</w:t>
      </w:r>
      <w:r w:rsidRPr="00D656C2">
        <w:rPr>
          <w:rFonts w:ascii="Times New Roman" w:hAnsi="Times New Roman" w:cs="Times New Roman"/>
        </w:rPr>
        <w:t>?</w:t>
      </w:r>
    </w:p>
    <w:p w14:paraId="20A1AA6F" w14:textId="77777777" w:rsidR="00F547F1" w:rsidRPr="00D656C2" w:rsidRDefault="007717AE" w:rsidP="00B56067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 xml:space="preserve">Quale è il livello di </w:t>
      </w:r>
      <w:r w:rsidR="00F547F1" w:rsidRPr="00D656C2">
        <w:rPr>
          <w:rFonts w:ascii="Times New Roman" w:hAnsi="Times New Roman" w:cs="Times New Roman"/>
        </w:rPr>
        <w:t>specificità dell’analisi?</w:t>
      </w:r>
    </w:p>
    <w:p w14:paraId="757F63A6" w14:textId="4891E8ED" w:rsidR="00F94B14" w:rsidRPr="00D656C2" w:rsidRDefault="00F94B14" w:rsidP="00B56067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>Ci sono fasce demografiche (es. per età o sesso) o specifiche aree geografiche su cui volete concentrare lo studio per il nuovo target di mercato?</w:t>
      </w:r>
    </w:p>
    <w:p w14:paraId="2B87ECA0" w14:textId="77777777" w:rsidR="00436F03" w:rsidRPr="00D656C2" w:rsidRDefault="00436F03" w:rsidP="00B56067">
      <w:pPr>
        <w:pStyle w:val="Paragrafoelenco"/>
        <w:numPr>
          <w:ilvl w:val="0"/>
          <w:numId w:val="15"/>
        </w:numPr>
        <w:spacing w:before="240" w:after="240"/>
        <w:jc w:val="both"/>
        <w:rPr>
          <w:rFonts w:ascii="Times New Roman" w:hAnsi="Times New Roman" w:cs="Times New Roman"/>
        </w:rPr>
      </w:pPr>
      <w:r w:rsidRPr="00D656C2">
        <w:rPr>
          <w:rFonts w:ascii="Times New Roman" w:eastAsia="Aptos" w:hAnsi="Times New Roman" w:cs="Times New Roman"/>
        </w:rPr>
        <w:t>Il cliente vuole valutare l’efficacia della campagna vaccinale rispetto alla riduzione dei contagi?</w:t>
      </w:r>
    </w:p>
    <w:p w14:paraId="40DAF8CF" w14:textId="0A5AFD74" w:rsidR="00436F03" w:rsidRPr="00D656C2" w:rsidRDefault="00292868" w:rsidP="00B56067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>Qual è il posizionamento desiderato per questo nuovo vaccino?</w:t>
      </w:r>
      <w:r w:rsidR="007812F7" w:rsidRPr="00D656C2">
        <w:rPr>
          <w:rFonts w:ascii="Times New Roman" w:hAnsi="Times New Roman" w:cs="Times New Roman"/>
        </w:rPr>
        <w:t xml:space="preserve"> Vaccino universale o richiamo stagionale?</w:t>
      </w:r>
    </w:p>
    <w:p w14:paraId="7D640553" w14:textId="779227DB" w:rsidR="007812F7" w:rsidRPr="00D656C2" w:rsidRDefault="007812F7" w:rsidP="00B56067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>Rispetto ai competitor (es. Pfizer, Moderna), quale dovrebbe essere il vostro vantaggio competitivo?</w:t>
      </w:r>
    </w:p>
    <w:p w14:paraId="656E45A1" w14:textId="0699F14B" w:rsidR="006B4012" w:rsidRPr="00D656C2" w:rsidRDefault="006B4012" w:rsidP="00B56067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>Oltre a contagi e decessi, è rilevante analizzare l'impatto sulle Terapie Intensive e sugli Ospedalizzati?</w:t>
      </w:r>
    </w:p>
    <w:p w14:paraId="48CDA46C" w14:textId="2EB7CF74" w:rsidR="0000769A" w:rsidRPr="00D656C2" w:rsidRDefault="0000769A" w:rsidP="00B56067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>L'azienda dispone di dati interni proprietari?</w:t>
      </w:r>
    </w:p>
    <w:p w14:paraId="42A1C10C" w14:textId="18131DBE" w:rsidR="0000769A" w:rsidRPr="00D656C2" w:rsidRDefault="0000769A" w:rsidP="00B56067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 xml:space="preserve">Come preferisce fruire dell'analisi? Ha preferenze sui </w:t>
      </w:r>
      <w:r w:rsidR="002545CC" w:rsidRPr="00D656C2">
        <w:rPr>
          <w:rFonts w:ascii="Times New Roman" w:hAnsi="Times New Roman" w:cs="Times New Roman"/>
        </w:rPr>
        <w:t>tools da utilizzare?</w:t>
      </w:r>
    </w:p>
    <w:p w14:paraId="099204CC" w14:textId="3F52B7B8" w:rsidR="0077622A" w:rsidRPr="00D656C2" w:rsidRDefault="002545CC" w:rsidP="00B56067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>Quali sono le tempistiche</w:t>
      </w:r>
      <w:r w:rsidR="0077622A" w:rsidRPr="00D656C2">
        <w:rPr>
          <w:rFonts w:ascii="Times New Roman" w:hAnsi="Times New Roman" w:cs="Times New Roman"/>
        </w:rPr>
        <w:t>?</w:t>
      </w:r>
    </w:p>
    <w:p w14:paraId="7FC13D2F" w14:textId="77777777" w:rsidR="00075381" w:rsidRDefault="00075381" w:rsidP="00B56067">
      <w:pPr>
        <w:jc w:val="both"/>
        <w:rPr>
          <w:rFonts w:ascii="Times New Roman" w:hAnsi="Times New Roman" w:cs="Times New Roman"/>
          <w:b/>
          <w:bCs/>
        </w:rPr>
      </w:pPr>
    </w:p>
    <w:p w14:paraId="668F9BDE" w14:textId="77777777" w:rsidR="00075381" w:rsidRDefault="00075381" w:rsidP="00B56067">
      <w:pPr>
        <w:jc w:val="both"/>
        <w:rPr>
          <w:rFonts w:ascii="Times New Roman" w:hAnsi="Times New Roman" w:cs="Times New Roman"/>
          <w:b/>
          <w:bCs/>
        </w:rPr>
      </w:pPr>
    </w:p>
    <w:p w14:paraId="331EC0BB" w14:textId="335532EE" w:rsidR="00F94B14" w:rsidRPr="00D656C2" w:rsidRDefault="00F94B14" w:rsidP="00B56067">
      <w:p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b/>
          <w:bCs/>
        </w:rPr>
        <w:t>Strumenti suggeriti per l'interazione:</w:t>
      </w:r>
    </w:p>
    <w:p w14:paraId="3DD48F4A" w14:textId="77777777" w:rsidR="00F94B14" w:rsidRPr="00D656C2" w:rsidRDefault="00F94B14" w:rsidP="00B56067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b/>
          <w:bCs/>
        </w:rPr>
        <w:lastRenderedPageBreak/>
        <w:t>Intervista strutturata / Call conoscitiva:</w:t>
      </w:r>
      <w:r w:rsidRPr="00D656C2">
        <w:rPr>
          <w:rFonts w:ascii="Times New Roman" w:hAnsi="Times New Roman" w:cs="Times New Roman"/>
        </w:rPr>
        <w:t xml:space="preserve"> Utilizzo di piattaforme di videoconferenza (Microsoft Teams, Zoom, Google Meet) per un confronto diretto.</w:t>
      </w:r>
    </w:p>
    <w:p w14:paraId="1E89DD0E" w14:textId="34B167F9" w:rsidR="00F94B14" w:rsidRDefault="00F94B14" w:rsidP="00B56067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b/>
          <w:bCs/>
        </w:rPr>
        <w:t>Questionario</w:t>
      </w:r>
      <w:r w:rsidR="00D33943" w:rsidRPr="00D656C2">
        <w:rPr>
          <w:rFonts w:ascii="Times New Roman" w:hAnsi="Times New Roman" w:cs="Times New Roman"/>
          <w:b/>
          <w:bCs/>
        </w:rPr>
        <w:t xml:space="preserve"> per raccogliere specifiche tecniche</w:t>
      </w:r>
      <w:r w:rsidRPr="00D656C2">
        <w:rPr>
          <w:rFonts w:ascii="Times New Roman" w:hAnsi="Times New Roman" w:cs="Times New Roman"/>
          <w:b/>
          <w:bCs/>
        </w:rPr>
        <w:t>:</w:t>
      </w:r>
      <w:r w:rsidRPr="00D656C2">
        <w:rPr>
          <w:rFonts w:ascii="Times New Roman" w:hAnsi="Times New Roman" w:cs="Times New Roman"/>
        </w:rPr>
        <w:t xml:space="preserve"> Moduli condivisi (es. Google Forms o Microsoft Forms) per raccogliere le specifiche tecniche.</w:t>
      </w:r>
    </w:p>
    <w:p w14:paraId="29DC6476" w14:textId="77777777" w:rsidR="00B45EF9" w:rsidRPr="00D656C2" w:rsidRDefault="00B45EF9" w:rsidP="00B56067">
      <w:pPr>
        <w:jc w:val="both"/>
        <w:rPr>
          <w:rFonts w:ascii="Times New Roman" w:hAnsi="Times New Roman" w:cs="Times New Roman"/>
        </w:rPr>
      </w:pPr>
    </w:p>
    <w:p w14:paraId="29F22D64" w14:textId="5E2F7090" w:rsidR="00F94B14" w:rsidRPr="00D656C2" w:rsidRDefault="0090791F" w:rsidP="00B56067">
      <w:pPr>
        <w:pStyle w:val="Titolo2"/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>5</w:t>
      </w:r>
      <w:r w:rsidR="00F94B14" w:rsidRPr="00D656C2">
        <w:rPr>
          <w:rFonts w:ascii="Times New Roman" w:hAnsi="Times New Roman" w:cs="Times New Roman"/>
        </w:rPr>
        <w:t>. Metadati identificati in questa esercitazione</w:t>
      </w:r>
    </w:p>
    <w:p w14:paraId="4AC41DDC" w14:textId="77777777" w:rsidR="00F94B14" w:rsidRPr="00D656C2" w:rsidRDefault="00F94B14" w:rsidP="00B56067">
      <w:p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>Dall'analisi delle fonti e dei file forniti, è possibile identificare chiaramente i seguenti metadati:</w:t>
      </w:r>
    </w:p>
    <w:p w14:paraId="60BA542A" w14:textId="77777777" w:rsidR="00F94B14" w:rsidRPr="00D656C2" w:rsidRDefault="00F94B14" w:rsidP="00B56067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b/>
          <w:bCs/>
        </w:rPr>
        <w:t>Fonte dei dati:</w:t>
      </w:r>
      <w:r w:rsidRPr="00D656C2">
        <w:rPr>
          <w:rFonts w:ascii="Times New Roman" w:hAnsi="Times New Roman" w:cs="Times New Roman"/>
        </w:rPr>
        <w:t xml:space="preserve"> Dipartimento della Protezione Civile e Struttura Commissariale per l'Emergenza.</w:t>
      </w:r>
    </w:p>
    <w:p w14:paraId="673BC7E4" w14:textId="77777777" w:rsidR="00F94B14" w:rsidRPr="00D656C2" w:rsidRDefault="00F94B14" w:rsidP="00B56067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b/>
          <w:bCs/>
        </w:rPr>
        <w:t>Data di aggiornamento:</w:t>
      </w:r>
      <w:r w:rsidRPr="00D656C2">
        <w:rPr>
          <w:rFonts w:ascii="Times New Roman" w:hAnsi="Times New Roman" w:cs="Times New Roman"/>
        </w:rPr>
        <w:t xml:space="preserve"> Variabile a seconda del file (dal 2020 fino ad inizio 2025).</w:t>
      </w:r>
    </w:p>
    <w:p w14:paraId="7B706099" w14:textId="77777777" w:rsidR="00F94B14" w:rsidRPr="00D656C2" w:rsidRDefault="00F94B14" w:rsidP="00B56067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b/>
          <w:bCs/>
        </w:rPr>
        <w:t>Formato del dataset:</w:t>
      </w:r>
      <w:r w:rsidRPr="00D656C2">
        <w:rPr>
          <w:rFonts w:ascii="Times New Roman" w:hAnsi="Times New Roman" w:cs="Times New Roman"/>
        </w:rPr>
        <w:t xml:space="preserve"> Testo separato da virgola (.csv).</w:t>
      </w:r>
    </w:p>
    <w:p w14:paraId="2136C791" w14:textId="706A4669" w:rsidR="00F94B14" w:rsidRPr="00D656C2" w:rsidRDefault="00F94B14" w:rsidP="00B56067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b/>
          <w:bCs/>
        </w:rPr>
        <w:t>Periodo temporale di riferimento:</w:t>
      </w:r>
      <w:r w:rsidRPr="00D656C2">
        <w:rPr>
          <w:rFonts w:ascii="Times New Roman" w:hAnsi="Times New Roman" w:cs="Times New Roman"/>
        </w:rPr>
        <w:t xml:space="preserve"> Dal 24 febbraio 2020 fino a</w:t>
      </w:r>
      <w:r w:rsidR="00320250" w:rsidRPr="00D656C2">
        <w:rPr>
          <w:rFonts w:ascii="Times New Roman" w:hAnsi="Times New Roman" w:cs="Times New Roman"/>
        </w:rPr>
        <w:t>l 7</w:t>
      </w:r>
      <w:r w:rsidRPr="00D656C2">
        <w:rPr>
          <w:rFonts w:ascii="Times New Roman" w:hAnsi="Times New Roman" w:cs="Times New Roman"/>
        </w:rPr>
        <w:t xml:space="preserve"> gennaio 2025</w:t>
      </w:r>
    </w:p>
    <w:p w14:paraId="4D92D46D" w14:textId="77777777" w:rsidR="00F94B14" w:rsidRPr="00D656C2" w:rsidRDefault="00F94B14" w:rsidP="00B56067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b/>
          <w:bCs/>
        </w:rPr>
        <w:t>Area geografica di riferimento:</w:t>
      </w:r>
      <w:r w:rsidRPr="00D656C2">
        <w:rPr>
          <w:rFonts w:ascii="Times New Roman" w:hAnsi="Times New Roman" w:cs="Times New Roman"/>
        </w:rPr>
        <w:t xml:space="preserve"> Repubblica Italiana, con granularità e dettaglio a livello Regionale/Provinciale (Province Autonome di Trento e Bolzano).</w:t>
      </w:r>
    </w:p>
    <w:p w14:paraId="14EC2FC5" w14:textId="44FF56F5" w:rsidR="00F94B14" w:rsidRPr="00D656C2" w:rsidRDefault="00F94B14" w:rsidP="00B56067">
      <w:pPr>
        <w:jc w:val="both"/>
        <w:rPr>
          <w:rFonts w:ascii="Times New Roman" w:hAnsi="Times New Roman" w:cs="Times New Roman"/>
        </w:rPr>
      </w:pPr>
    </w:p>
    <w:p w14:paraId="3603B88B" w14:textId="03DF9CB5" w:rsidR="000913EA" w:rsidRPr="00D656C2" w:rsidRDefault="0090791F" w:rsidP="00B56067">
      <w:pPr>
        <w:pStyle w:val="Titolo2"/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>6</w:t>
      </w:r>
      <w:r w:rsidR="00F94B14" w:rsidRPr="00D656C2">
        <w:rPr>
          <w:rFonts w:ascii="Times New Roman" w:hAnsi="Times New Roman" w:cs="Times New Roman"/>
        </w:rPr>
        <w:t>. Metodologia</w:t>
      </w:r>
      <w:r w:rsidR="000913EA" w:rsidRPr="00D656C2">
        <w:rPr>
          <w:rFonts w:ascii="Times New Roman" w:hAnsi="Times New Roman" w:cs="Times New Roman"/>
        </w:rPr>
        <w:t>, descrizione entità/attributi e processo attuato</w:t>
      </w:r>
    </w:p>
    <w:p w14:paraId="006941B3" w14:textId="77777777" w:rsidR="00A2157A" w:rsidRPr="00D656C2" w:rsidRDefault="00A2157A" w:rsidP="00B56067">
      <w:p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 xml:space="preserve">I dati grezzi sono stati importati in ambiente Excel e processati tramite </w:t>
      </w:r>
      <w:r w:rsidRPr="00D656C2">
        <w:rPr>
          <w:rFonts w:ascii="Times New Roman" w:hAnsi="Times New Roman" w:cs="Times New Roman"/>
          <w:b/>
          <w:bCs/>
        </w:rPr>
        <w:t>Power Query</w:t>
      </w:r>
      <w:r w:rsidRPr="00D656C2">
        <w:rPr>
          <w:rFonts w:ascii="Times New Roman" w:hAnsi="Times New Roman" w:cs="Times New Roman"/>
        </w:rPr>
        <w:t xml:space="preserve"> per garantire qualità, pulizia e validazione attraverso le seguenti operazioni:</w:t>
      </w:r>
    </w:p>
    <w:p w14:paraId="610A2201" w14:textId="1A980F35" w:rsidR="00A2157A" w:rsidRPr="00D656C2" w:rsidRDefault="00A2157A" w:rsidP="00B56067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b/>
          <w:bCs/>
        </w:rPr>
        <w:t>Rimozione dati non necessari:</w:t>
      </w:r>
      <w:r w:rsidRPr="00D656C2">
        <w:rPr>
          <w:rFonts w:ascii="Times New Roman" w:hAnsi="Times New Roman" w:cs="Times New Roman"/>
        </w:rPr>
        <w:t xml:space="preserve"> Il set di partenza è stato snellito eliminando le colonne ridondanti e mantenendo esclusivamente i campi essenziali all'analisi: Data, Regione, Contagiati, Guariti, Deceduti, </w:t>
      </w:r>
      <w:r w:rsidR="00914B76" w:rsidRPr="00D656C2">
        <w:rPr>
          <w:rFonts w:ascii="Times New Roman" w:hAnsi="Times New Roman" w:cs="Times New Roman"/>
        </w:rPr>
        <w:t>Tamponi e Somministrazione vaccini</w:t>
      </w:r>
      <w:r w:rsidRPr="00D656C2">
        <w:rPr>
          <w:rFonts w:ascii="Times New Roman" w:hAnsi="Times New Roman" w:cs="Times New Roman"/>
        </w:rPr>
        <w:t>.</w:t>
      </w:r>
    </w:p>
    <w:p w14:paraId="5CC7601F" w14:textId="42D895C9" w:rsidR="00A2157A" w:rsidRPr="00D656C2" w:rsidRDefault="00A2157A" w:rsidP="00B56067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b/>
          <w:bCs/>
        </w:rPr>
        <w:t>Verifica formati:</w:t>
      </w:r>
      <w:r w:rsidRPr="00D656C2">
        <w:rPr>
          <w:rFonts w:ascii="Times New Roman" w:hAnsi="Times New Roman" w:cs="Times New Roman"/>
        </w:rPr>
        <w:t xml:space="preserve"> È stato imposto il corretto </w:t>
      </w:r>
      <w:r w:rsidR="00914B76" w:rsidRPr="00D656C2">
        <w:rPr>
          <w:rFonts w:ascii="Times New Roman" w:hAnsi="Times New Roman" w:cs="Times New Roman"/>
        </w:rPr>
        <w:t>formato</w:t>
      </w:r>
      <w:r w:rsidRPr="00D656C2">
        <w:rPr>
          <w:rFonts w:ascii="Times New Roman" w:hAnsi="Times New Roman" w:cs="Times New Roman"/>
        </w:rPr>
        <w:t xml:space="preserve"> dei dati (date in formato Data, regioni in formato Testo, metriche in formato Numero) per prevenire errori nelle successive fasi di aggregazione.</w:t>
      </w:r>
    </w:p>
    <w:p w14:paraId="200FF5D2" w14:textId="4B546677" w:rsidR="00DA7214" w:rsidRPr="00D656C2" w:rsidRDefault="00FA41C8" w:rsidP="00B56067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 xml:space="preserve">Trasformazione dei dati </w:t>
      </w:r>
      <w:r w:rsidR="00EB5E09" w:rsidRPr="00D656C2">
        <w:rPr>
          <w:rFonts w:ascii="Times New Roman" w:hAnsi="Times New Roman" w:cs="Times New Roman"/>
        </w:rPr>
        <w:t>cumulativi</w:t>
      </w:r>
      <w:r w:rsidR="00727EC0" w:rsidRPr="00D656C2">
        <w:rPr>
          <w:rFonts w:ascii="Times New Roman" w:hAnsi="Times New Roman" w:cs="Times New Roman"/>
        </w:rPr>
        <w:t xml:space="preserve"> giornalieri</w:t>
      </w:r>
      <w:r w:rsidR="00EB5E09" w:rsidRPr="00D656C2">
        <w:rPr>
          <w:rFonts w:ascii="Times New Roman" w:hAnsi="Times New Roman" w:cs="Times New Roman"/>
        </w:rPr>
        <w:t xml:space="preserve"> </w:t>
      </w:r>
      <w:r w:rsidR="008A4CBF" w:rsidRPr="00D656C2">
        <w:rPr>
          <w:rFonts w:ascii="Times New Roman" w:hAnsi="Times New Roman" w:cs="Times New Roman"/>
        </w:rPr>
        <w:t xml:space="preserve">di Contagiati, Guariti e </w:t>
      </w:r>
      <w:r w:rsidR="00AD0DF2" w:rsidRPr="00D656C2">
        <w:rPr>
          <w:rFonts w:ascii="Times New Roman" w:hAnsi="Times New Roman" w:cs="Times New Roman"/>
        </w:rPr>
        <w:t xml:space="preserve">Deceduti </w:t>
      </w:r>
      <w:r w:rsidR="00EB5E09" w:rsidRPr="00D656C2">
        <w:rPr>
          <w:rFonts w:ascii="Times New Roman" w:hAnsi="Times New Roman" w:cs="Times New Roman"/>
        </w:rPr>
        <w:t xml:space="preserve">in dati </w:t>
      </w:r>
      <w:r w:rsidR="00AD0DF2" w:rsidRPr="00D656C2">
        <w:rPr>
          <w:rFonts w:ascii="Times New Roman" w:hAnsi="Times New Roman" w:cs="Times New Roman"/>
        </w:rPr>
        <w:t>effettivi di periodo</w:t>
      </w:r>
      <w:r w:rsidR="00343822" w:rsidRPr="00D656C2">
        <w:rPr>
          <w:rFonts w:ascii="Times New Roman" w:hAnsi="Times New Roman" w:cs="Times New Roman"/>
        </w:rPr>
        <w:t xml:space="preserve">, </w:t>
      </w:r>
      <w:r w:rsidR="00713CDE" w:rsidRPr="00D656C2">
        <w:rPr>
          <w:rFonts w:ascii="Times New Roman" w:hAnsi="Times New Roman" w:cs="Times New Roman"/>
        </w:rPr>
        <w:t xml:space="preserve">calcolando la differenza tra un giorno e il giorno </w:t>
      </w:r>
      <w:r w:rsidR="00C337EA" w:rsidRPr="00D656C2">
        <w:rPr>
          <w:rFonts w:ascii="Times New Roman" w:hAnsi="Times New Roman" w:cs="Times New Roman"/>
        </w:rPr>
        <w:t>precedente (</w:t>
      </w:r>
      <w:r w:rsidR="00713CDE" w:rsidRPr="00D656C2">
        <w:rPr>
          <w:rFonts w:ascii="Times New Roman" w:hAnsi="Times New Roman" w:cs="Times New Roman"/>
        </w:rPr>
        <w:t xml:space="preserve">tramite l’utilizzo di colonne indice e </w:t>
      </w:r>
      <w:r w:rsidR="005C7563" w:rsidRPr="00D656C2">
        <w:rPr>
          <w:rFonts w:ascii="Times New Roman" w:hAnsi="Times New Roman" w:cs="Times New Roman"/>
        </w:rPr>
        <w:t>campi calco</w:t>
      </w:r>
      <w:r w:rsidR="00043887" w:rsidRPr="00D656C2">
        <w:rPr>
          <w:rFonts w:ascii="Times New Roman" w:hAnsi="Times New Roman" w:cs="Times New Roman"/>
        </w:rPr>
        <w:t>lati</w:t>
      </w:r>
      <w:r w:rsidR="00C337EA" w:rsidRPr="00D656C2">
        <w:rPr>
          <w:rFonts w:ascii="Times New Roman" w:hAnsi="Times New Roman" w:cs="Times New Roman"/>
        </w:rPr>
        <w:t>)</w:t>
      </w:r>
      <w:r w:rsidR="00043887" w:rsidRPr="00D656C2">
        <w:rPr>
          <w:rFonts w:ascii="Times New Roman" w:hAnsi="Times New Roman" w:cs="Times New Roman"/>
        </w:rPr>
        <w:t>.</w:t>
      </w:r>
    </w:p>
    <w:p w14:paraId="67BF72BB" w14:textId="73F04B40" w:rsidR="00A2157A" w:rsidRPr="00D656C2" w:rsidRDefault="00A2157A" w:rsidP="00B56067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b/>
          <w:bCs/>
        </w:rPr>
        <w:t xml:space="preserve">Uniformazione </w:t>
      </w:r>
      <w:r w:rsidR="00B47CE8" w:rsidRPr="00D656C2">
        <w:rPr>
          <w:rFonts w:ascii="Times New Roman" w:hAnsi="Times New Roman" w:cs="Times New Roman"/>
          <w:b/>
          <w:bCs/>
        </w:rPr>
        <w:t>dataset per merge</w:t>
      </w:r>
      <w:r w:rsidRPr="00D656C2">
        <w:rPr>
          <w:rFonts w:ascii="Times New Roman" w:hAnsi="Times New Roman" w:cs="Times New Roman"/>
          <w:b/>
          <w:bCs/>
        </w:rPr>
        <w:t>:</w:t>
      </w:r>
      <w:r w:rsidRPr="00D656C2">
        <w:rPr>
          <w:rFonts w:ascii="Times New Roman" w:hAnsi="Times New Roman" w:cs="Times New Roman"/>
        </w:rPr>
        <w:t xml:space="preserve"> Per garantire la perfetta coerenza relazionale tra i due dataset, le nomenclature geografiche sono state standardizzate (es. </w:t>
      </w:r>
      <w:r w:rsidRPr="00D656C2">
        <w:rPr>
          <w:rFonts w:ascii="Times New Roman" w:hAnsi="Times New Roman" w:cs="Times New Roman"/>
          <w:i/>
          <w:iCs/>
        </w:rPr>
        <w:t>Trentino-Alto Adige</w:t>
      </w:r>
      <w:r w:rsidRPr="00D656C2">
        <w:rPr>
          <w:rFonts w:ascii="Times New Roman" w:hAnsi="Times New Roman" w:cs="Times New Roman"/>
        </w:rPr>
        <w:t xml:space="preserve"> ricodificato in </w:t>
      </w:r>
      <w:r w:rsidRPr="00D656C2">
        <w:rPr>
          <w:rFonts w:ascii="Times New Roman" w:hAnsi="Times New Roman" w:cs="Times New Roman"/>
          <w:i/>
          <w:iCs/>
        </w:rPr>
        <w:t>TRENTINO</w:t>
      </w:r>
      <w:r w:rsidRPr="00D656C2">
        <w:rPr>
          <w:rFonts w:ascii="Times New Roman" w:hAnsi="Times New Roman" w:cs="Times New Roman"/>
        </w:rPr>
        <w:t xml:space="preserve">; </w:t>
      </w:r>
      <w:r w:rsidR="00B47CE8" w:rsidRPr="00D656C2">
        <w:rPr>
          <w:rFonts w:ascii="Times New Roman" w:hAnsi="Times New Roman" w:cs="Times New Roman"/>
          <w:i/>
          <w:iCs/>
        </w:rPr>
        <w:t>Friuli-Venezia Giulia</w:t>
      </w:r>
      <w:r w:rsidRPr="00D656C2">
        <w:rPr>
          <w:rFonts w:ascii="Times New Roman" w:hAnsi="Times New Roman" w:cs="Times New Roman"/>
        </w:rPr>
        <w:t xml:space="preserve"> ricodificato in </w:t>
      </w:r>
      <w:r w:rsidRPr="00D656C2">
        <w:rPr>
          <w:rFonts w:ascii="Times New Roman" w:hAnsi="Times New Roman" w:cs="Times New Roman"/>
          <w:i/>
          <w:iCs/>
        </w:rPr>
        <w:t>FRIULI</w:t>
      </w:r>
      <w:r w:rsidR="00B47CE8" w:rsidRPr="00D656C2">
        <w:rPr>
          <w:rFonts w:ascii="Times New Roman" w:hAnsi="Times New Roman" w:cs="Times New Roman"/>
          <w:i/>
          <w:iCs/>
        </w:rPr>
        <w:t xml:space="preserve"> e altre tipo Valle </w:t>
      </w:r>
      <w:proofErr w:type="spellStart"/>
      <w:r w:rsidR="00B47CE8" w:rsidRPr="00D656C2">
        <w:rPr>
          <w:rFonts w:ascii="Times New Roman" w:hAnsi="Times New Roman" w:cs="Times New Roman"/>
          <w:i/>
          <w:iCs/>
        </w:rPr>
        <w:t>d’aosta</w:t>
      </w:r>
      <w:proofErr w:type="spellEnd"/>
      <w:r w:rsidR="00B47CE8" w:rsidRPr="00D656C2">
        <w:rPr>
          <w:rFonts w:ascii="Times New Roman" w:hAnsi="Times New Roman" w:cs="Times New Roman"/>
          <w:i/>
          <w:iCs/>
        </w:rPr>
        <w:t xml:space="preserve"> e P.A. Bolzano</w:t>
      </w:r>
      <w:r w:rsidRPr="00D656C2">
        <w:rPr>
          <w:rFonts w:ascii="Times New Roman" w:hAnsi="Times New Roman" w:cs="Times New Roman"/>
        </w:rPr>
        <w:t>), eliminando il rischio di duplicazioni o record orfani.</w:t>
      </w:r>
    </w:p>
    <w:p w14:paraId="40468D36" w14:textId="7A9F4952" w:rsidR="00EA146D" w:rsidRPr="00D656C2" w:rsidRDefault="00EA146D" w:rsidP="00B56067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b/>
          <w:bCs/>
        </w:rPr>
        <w:t>Merge dei dataset:</w:t>
      </w:r>
      <w:r w:rsidRPr="00D656C2">
        <w:rPr>
          <w:rFonts w:ascii="Times New Roman" w:hAnsi="Times New Roman" w:cs="Times New Roman"/>
        </w:rPr>
        <w:t xml:space="preserve"> Tramite l’utilizzo di key del tipo regione-anno-mese</w:t>
      </w:r>
      <w:r w:rsidR="00A052BC" w:rsidRPr="00D656C2">
        <w:rPr>
          <w:rFonts w:ascii="Times New Roman" w:hAnsi="Times New Roman" w:cs="Times New Roman"/>
        </w:rPr>
        <w:t xml:space="preserve"> sono stati </w:t>
      </w:r>
      <w:r w:rsidR="0055081F" w:rsidRPr="00D656C2">
        <w:rPr>
          <w:rFonts w:ascii="Times New Roman" w:hAnsi="Times New Roman" w:cs="Times New Roman"/>
        </w:rPr>
        <w:t>uniti i dataset in un’unica tabella</w:t>
      </w:r>
      <w:r w:rsidR="001E726E" w:rsidRPr="00D656C2">
        <w:rPr>
          <w:rFonts w:ascii="Times New Roman" w:hAnsi="Times New Roman" w:cs="Times New Roman"/>
        </w:rPr>
        <w:t xml:space="preserve"> </w:t>
      </w:r>
      <w:r w:rsidR="001E726E" w:rsidRPr="00D656C2">
        <w:rPr>
          <w:rFonts w:ascii="Times New Roman" w:hAnsi="Times New Roman" w:cs="Times New Roman"/>
        </w:rPr>
        <w:sym w:font="Wingdings" w:char="F0E0"/>
      </w:r>
      <w:r w:rsidR="001E726E" w:rsidRPr="00D656C2">
        <w:rPr>
          <w:rFonts w:ascii="Times New Roman" w:hAnsi="Times New Roman" w:cs="Times New Roman"/>
        </w:rPr>
        <w:t xml:space="preserve"> Dataset Merge</w:t>
      </w:r>
    </w:p>
    <w:p w14:paraId="66C2C9A4" w14:textId="77777777" w:rsidR="00A2157A" w:rsidRPr="00D656C2" w:rsidRDefault="00A2157A" w:rsidP="00B56067">
      <w:p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lastRenderedPageBreak/>
        <w:t xml:space="preserve">Completata la preparazione, è stato sviluppato un modello dati centralizzato utilizzando </w:t>
      </w:r>
      <w:r w:rsidRPr="00D656C2">
        <w:rPr>
          <w:rFonts w:ascii="Times New Roman" w:hAnsi="Times New Roman" w:cs="Times New Roman"/>
          <w:b/>
          <w:bCs/>
        </w:rPr>
        <w:t>Power Pivot</w:t>
      </w:r>
      <w:r w:rsidRPr="00D656C2">
        <w:rPr>
          <w:rFonts w:ascii="Times New Roman" w:hAnsi="Times New Roman" w:cs="Times New Roman"/>
        </w:rPr>
        <w:t>. Questo ambiente ha permesso di relazionare le tabelle fattuali (andamento clinico e vaccinazioni) creando un'unica base dati consolidata.</w:t>
      </w:r>
    </w:p>
    <w:p w14:paraId="59BE7C3B" w14:textId="77777777" w:rsidR="00A2157A" w:rsidRPr="00D656C2" w:rsidRDefault="00A2157A" w:rsidP="00B56067">
      <w:p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>Il modello si fonda sulle seguenti entità e attributi:</w:t>
      </w:r>
    </w:p>
    <w:p w14:paraId="7BB0D399" w14:textId="77777777" w:rsidR="00A2157A" w:rsidRPr="00D656C2" w:rsidRDefault="00A2157A" w:rsidP="00B56067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b/>
          <w:bCs/>
        </w:rPr>
        <w:t>Dimensioni di Analisi (Chiavi di filtro e raggruppamento):</w:t>
      </w:r>
    </w:p>
    <w:p w14:paraId="49B29190" w14:textId="77777777" w:rsidR="00A2157A" w:rsidRPr="00D656C2" w:rsidRDefault="00A2157A" w:rsidP="00B56067">
      <w:pPr>
        <w:numPr>
          <w:ilvl w:val="1"/>
          <w:numId w:val="24"/>
        </w:num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i/>
          <w:iCs/>
        </w:rPr>
        <w:t>Dimensione Spaziale:</w:t>
      </w:r>
      <w:r w:rsidRPr="00D656C2">
        <w:rPr>
          <w:rFonts w:ascii="Times New Roman" w:hAnsi="Times New Roman" w:cs="Times New Roman"/>
        </w:rPr>
        <w:t xml:space="preserve"> Regione</w:t>
      </w:r>
    </w:p>
    <w:p w14:paraId="62871A40" w14:textId="77777777" w:rsidR="00A2157A" w:rsidRPr="00D656C2" w:rsidRDefault="00A2157A" w:rsidP="00B56067">
      <w:pPr>
        <w:numPr>
          <w:ilvl w:val="1"/>
          <w:numId w:val="24"/>
        </w:num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i/>
          <w:iCs/>
        </w:rPr>
        <w:t>Dimensione Temporale:</w:t>
      </w:r>
      <w:r w:rsidRPr="00D656C2">
        <w:rPr>
          <w:rFonts w:ascii="Times New Roman" w:hAnsi="Times New Roman" w:cs="Times New Roman"/>
        </w:rPr>
        <w:t xml:space="preserve"> Data, espansa gerarchicamente in Anno, Trimestre e Mese.</w:t>
      </w:r>
    </w:p>
    <w:p w14:paraId="7406FA64" w14:textId="77777777" w:rsidR="00A2157A" w:rsidRPr="00D656C2" w:rsidRDefault="00A2157A" w:rsidP="00B56067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b/>
          <w:bCs/>
        </w:rPr>
        <w:t>Misure Base (Variabili quantitative):</w:t>
      </w:r>
    </w:p>
    <w:p w14:paraId="4AC0B2CE" w14:textId="77777777" w:rsidR="00A2157A" w:rsidRPr="00D656C2" w:rsidRDefault="00A2157A" w:rsidP="00B56067">
      <w:pPr>
        <w:numPr>
          <w:ilvl w:val="1"/>
          <w:numId w:val="24"/>
        </w:num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i/>
          <w:iCs/>
        </w:rPr>
        <w:t>Epidemiologiche:</w:t>
      </w:r>
      <w:r w:rsidRPr="00D656C2">
        <w:rPr>
          <w:rFonts w:ascii="Times New Roman" w:hAnsi="Times New Roman" w:cs="Times New Roman"/>
        </w:rPr>
        <w:t xml:space="preserve"> Contagiati, Guariti, Deceduti.</w:t>
      </w:r>
    </w:p>
    <w:p w14:paraId="5D987901" w14:textId="77777777" w:rsidR="00A2157A" w:rsidRPr="00D656C2" w:rsidRDefault="00A2157A" w:rsidP="00B56067">
      <w:pPr>
        <w:numPr>
          <w:ilvl w:val="1"/>
          <w:numId w:val="24"/>
        </w:num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i/>
          <w:iCs/>
        </w:rPr>
        <w:t>Profilassi:</w:t>
      </w:r>
      <w:r w:rsidRPr="00D656C2">
        <w:rPr>
          <w:rFonts w:ascii="Times New Roman" w:hAnsi="Times New Roman" w:cs="Times New Roman"/>
        </w:rPr>
        <w:t xml:space="preserve"> Vaccinati (somministrazioni totali).</w:t>
      </w:r>
    </w:p>
    <w:p w14:paraId="3D66F1FB" w14:textId="3881F43F" w:rsidR="00A2157A" w:rsidRPr="00D656C2" w:rsidRDefault="00A2157A" w:rsidP="00B56067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b/>
          <w:bCs/>
        </w:rPr>
        <w:t>Misure Derivate e Indicatori (KPI):</w:t>
      </w:r>
      <w:r w:rsidRPr="00D656C2">
        <w:rPr>
          <w:rFonts w:ascii="Times New Roman" w:hAnsi="Times New Roman" w:cs="Times New Roman"/>
        </w:rPr>
        <w:t xml:space="preserve"> Tramite colonne calcolate, il modello è stato arricchito con i rapporti richiesti dal cliente per valutare l'impatto del virus e l'efficacia della campagna.</w:t>
      </w:r>
    </w:p>
    <w:p w14:paraId="7EAAAD66" w14:textId="77777777" w:rsidR="00A2157A" w:rsidRPr="00D656C2" w:rsidRDefault="00A2157A" w:rsidP="00B56067">
      <w:p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 xml:space="preserve">La metodologia adottata si basa su un approccio di Business Intelligence di tipo descrittivo e correlazionale. Sfruttando la flessibilità di </w:t>
      </w:r>
      <w:r w:rsidRPr="00D656C2">
        <w:rPr>
          <w:rFonts w:ascii="Times New Roman" w:hAnsi="Times New Roman" w:cs="Times New Roman"/>
          <w:b/>
          <w:bCs/>
        </w:rPr>
        <w:t>Tabelle Pivot</w:t>
      </w:r>
      <w:r w:rsidRPr="00D656C2">
        <w:rPr>
          <w:rFonts w:ascii="Times New Roman" w:hAnsi="Times New Roman" w:cs="Times New Roman"/>
        </w:rPr>
        <w:t xml:space="preserve"> e </w:t>
      </w:r>
      <w:r w:rsidRPr="00D656C2">
        <w:rPr>
          <w:rFonts w:ascii="Times New Roman" w:hAnsi="Times New Roman" w:cs="Times New Roman"/>
          <w:b/>
          <w:bCs/>
        </w:rPr>
        <w:t>Grafici Pivot</w:t>
      </w:r>
      <w:r w:rsidRPr="00D656C2">
        <w:rPr>
          <w:rFonts w:ascii="Times New Roman" w:hAnsi="Times New Roman" w:cs="Times New Roman"/>
        </w:rPr>
        <w:t>, l'analisi sintetizza i volumi di dati per evidenziare fenomeni chiave, tra cui:</w:t>
      </w:r>
    </w:p>
    <w:p w14:paraId="74CB2CE5" w14:textId="77777777" w:rsidR="00A2157A" w:rsidRPr="00D656C2" w:rsidRDefault="00A2157A" w:rsidP="00B56067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b/>
          <w:bCs/>
        </w:rPr>
        <w:t>Analisi dei Trend:</w:t>
      </w:r>
      <w:r w:rsidRPr="00D656C2">
        <w:rPr>
          <w:rFonts w:ascii="Times New Roman" w:hAnsi="Times New Roman" w:cs="Times New Roman"/>
        </w:rPr>
        <w:t xml:space="preserve"> Osservazione storica dell'andamento dei contagiati, dei guariti, dei deceduti e dei volumi di vaccinazione nel corso dei trimestri.</w:t>
      </w:r>
    </w:p>
    <w:p w14:paraId="31863D5C" w14:textId="77777777" w:rsidR="00A2157A" w:rsidRPr="00D656C2" w:rsidRDefault="00A2157A" w:rsidP="00B56067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b/>
          <w:bCs/>
        </w:rPr>
        <w:t>Analisi di Correlazione e Impatto:</w:t>
      </w:r>
      <w:r w:rsidRPr="00D656C2">
        <w:rPr>
          <w:rFonts w:ascii="Times New Roman" w:hAnsi="Times New Roman" w:cs="Times New Roman"/>
        </w:rPr>
        <w:t xml:space="preserve"> Studio specifico delle proporzioni tra le diverse variabili per comprendere l'evoluzione della pandemia nel tempo. Nello specifico sono stati monitorati i rapporti tra:</w:t>
      </w:r>
    </w:p>
    <w:p w14:paraId="05ECC91E" w14:textId="77777777" w:rsidR="00A2157A" w:rsidRPr="00D656C2" w:rsidRDefault="00A2157A" w:rsidP="00B56067">
      <w:pPr>
        <w:numPr>
          <w:ilvl w:val="1"/>
          <w:numId w:val="25"/>
        </w:num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>Contagiati e Vaccinati</w:t>
      </w:r>
    </w:p>
    <w:p w14:paraId="67EC3D71" w14:textId="77777777" w:rsidR="00A2157A" w:rsidRPr="00D656C2" w:rsidRDefault="00A2157A" w:rsidP="00B56067">
      <w:pPr>
        <w:numPr>
          <w:ilvl w:val="1"/>
          <w:numId w:val="25"/>
        </w:num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>Contagiati e Deceduti</w:t>
      </w:r>
    </w:p>
    <w:p w14:paraId="6CFE0512" w14:textId="77777777" w:rsidR="00A2157A" w:rsidRPr="00D656C2" w:rsidRDefault="00A2157A" w:rsidP="00B56067">
      <w:pPr>
        <w:numPr>
          <w:ilvl w:val="1"/>
          <w:numId w:val="25"/>
        </w:num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>Contagiati e Guariti</w:t>
      </w:r>
    </w:p>
    <w:p w14:paraId="22ABE834" w14:textId="49DFB31D" w:rsidR="00E912B0" w:rsidRPr="00D656C2" w:rsidRDefault="00E912B0" w:rsidP="00B56067">
      <w:pPr>
        <w:numPr>
          <w:ilvl w:val="1"/>
          <w:numId w:val="25"/>
        </w:num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>Contagiati e Tamponi</w:t>
      </w:r>
    </w:p>
    <w:p w14:paraId="1852B10D" w14:textId="77777777" w:rsidR="00A2157A" w:rsidRPr="00D656C2" w:rsidRDefault="00A2157A" w:rsidP="00B56067">
      <w:p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>I dati modellati e analizzati sono stati infine strutturati per la fruizione finale del cliente attraverso due output principali:</w:t>
      </w:r>
    </w:p>
    <w:p w14:paraId="375F08B4" w14:textId="77777777" w:rsidR="00A2157A" w:rsidRPr="00D656C2" w:rsidRDefault="00A2157A" w:rsidP="00B56067">
      <w:p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b/>
          <w:bCs/>
        </w:rPr>
        <w:t>A. La Maschera di Consultazione Interattiva</w:t>
      </w:r>
      <w:r w:rsidRPr="00D656C2">
        <w:rPr>
          <w:rFonts w:ascii="Times New Roman" w:hAnsi="Times New Roman" w:cs="Times New Roman"/>
        </w:rPr>
        <w:t xml:space="preserve"> Per rendere il report esplorabile anche da utenti non tecnici, è stata sviluppata una dashboard (maschera) dinamica. Il cliente può interagire con il sistema inserendo il nome di una specifica regione per ottenere istantaneamente:</w:t>
      </w:r>
    </w:p>
    <w:p w14:paraId="53DDB815" w14:textId="77777777" w:rsidR="00A2157A" w:rsidRPr="00D656C2" w:rsidRDefault="00A2157A" w:rsidP="00B56067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>I valori assoluti aggiornati di contagiati, guariti e deceduti.</w:t>
      </w:r>
    </w:p>
    <w:p w14:paraId="7BEBDD89" w14:textId="77777777" w:rsidR="00A2157A" w:rsidRPr="00D656C2" w:rsidRDefault="00A2157A" w:rsidP="00B56067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>Un output visivo (grafico) che mostra il posizionamento (ranking) della regione selezionata rispetto alle altre in base al volume dei contagiati.</w:t>
      </w:r>
    </w:p>
    <w:p w14:paraId="051C7F3B" w14:textId="77777777" w:rsidR="00075381" w:rsidRDefault="00075381" w:rsidP="00B56067">
      <w:pPr>
        <w:jc w:val="both"/>
        <w:rPr>
          <w:rFonts w:ascii="Times New Roman" w:hAnsi="Times New Roman" w:cs="Times New Roman"/>
          <w:b/>
          <w:bCs/>
        </w:rPr>
      </w:pPr>
    </w:p>
    <w:p w14:paraId="229EBDCB" w14:textId="2E5B7176" w:rsidR="00A2157A" w:rsidRPr="00D656C2" w:rsidRDefault="00A2157A" w:rsidP="00B56067">
      <w:p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b/>
          <w:bCs/>
        </w:rPr>
        <w:lastRenderedPageBreak/>
        <w:t>B. Strutturazione e Layout del Report Formale</w:t>
      </w:r>
      <w:r w:rsidRPr="00D656C2">
        <w:rPr>
          <w:rFonts w:ascii="Times New Roman" w:hAnsi="Times New Roman" w:cs="Times New Roman"/>
        </w:rPr>
        <w:t xml:space="preserve"> Tutti i risultati delle analisi sono stati organizzati logicamente su più fogli di lavoro Excel, ciascuno dedicato a uno specifico ambito (es. </w:t>
      </w:r>
      <w:proofErr w:type="gramStart"/>
      <w:r w:rsidRPr="00D656C2">
        <w:rPr>
          <w:rFonts w:ascii="Times New Roman" w:hAnsi="Times New Roman" w:cs="Times New Roman"/>
        </w:rPr>
        <w:t>trend</w:t>
      </w:r>
      <w:proofErr w:type="gramEnd"/>
      <w:r w:rsidRPr="00D656C2">
        <w:rPr>
          <w:rFonts w:ascii="Times New Roman" w:hAnsi="Times New Roman" w:cs="Times New Roman"/>
        </w:rPr>
        <w:t xml:space="preserve">, rapporti, maschera), e dotati di filtri interattivi (Slicer) per </w:t>
      </w:r>
      <w:r w:rsidRPr="00D656C2">
        <w:rPr>
          <w:rFonts w:ascii="Times New Roman" w:hAnsi="Times New Roman" w:cs="Times New Roman"/>
          <w:i/>
          <w:iCs/>
        </w:rPr>
        <w:t>Regione</w:t>
      </w:r>
      <w:r w:rsidRPr="00D656C2">
        <w:rPr>
          <w:rFonts w:ascii="Times New Roman" w:hAnsi="Times New Roman" w:cs="Times New Roman"/>
        </w:rPr>
        <w:t xml:space="preserve"> e </w:t>
      </w:r>
      <w:r w:rsidRPr="00D656C2">
        <w:rPr>
          <w:rFonts w:ascii="Times New Roman" w:hAnsi="Times New Roman" w:cs="Times New Roman"/>
          <w:i/>
          <w:iCs/>
        </w:rPr>
        <w:t>Trimestre</w:t>
      </w:r>
      <w:r w:rsidRPr="00D656C2">
        <w:rPr>
          <w:rFonts w:ascii="Times New Roman" w:hAnsi="Times New Roman" w:cs="Times New Roman"/>
        </w:rPr>
        <w:t>. Per garantire un output di altissimo livello professionale e pronto per la distribuzione o la stampa, l'intera cartella di lavoro segue rigide regole di formattazione standardizzata:</w:t>
      </w:r>
    </w:p>
    <w:p w14:paraId="3EE3D350" w14:textId="7E146710" w:rsidR="00A2157A" w:rsidRPr="00D656C2" w:rsidRDefault="00A2157A" w:rsidP="00B56067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>Layout con margini uniformi e orientamento orizzontale.</w:t>
      </w:r>
    </w:p>
    <w:p w14:paraId="452E713D" w14:textId="77777777" w:rsidR="00A2157A" w:rsidRPr="00D656C2" w:rsidRDefault="00A2157A" w:rsidP="00B56067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>Intestazioni bloccate a schermo e ripetute in fase di stampa.</w:t>
      </w:r>
    </w:p>
    <w:p w14:paraId="21BB0E73" w14:textId="77777777" w:rsidR="00A2157A" w:rsidRPr="00D656C2" w:rsidRDefault="00A2157A" w:rsidP="00B56067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>Aree di stampa rigorosamente preimpostate per adattarsi perfettamente al formato pagina A4.</w:t>
      </w:r>
    </w:p>
    <w:p w14:paraId="577F19C5" w14:textId="77777777" w:rsidR="0090791F" w:rsidRPr="00D656C2" w:rsidRDefault="0090791F" w:rsidP="00B56067">
      <w:pPr>
        <w:jc w:val="both"/>
        <w:rPr>
          <w:rFonts w:ascii="Times New Roman" w:hAnsi="Times New Roman" w:cs="Times New Roman"/>
        </w:rPr>
      </w:pPr>
    </w:p>
    <w:p w14:paraId="3F2FDC5D" w14:textId="6B92C7CF" w:rsidR="00F94B14" w:rsidRPr="00D656C2" w:rsidRDefault="00D656C2" w:rsidP="00B56067">
      <w:pPr>
        <w:pStyle w:val="Titolo2"/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>7</w:t>
      </w:r>
      <w:r w:rsidR="00F94B14" w:rsidRPr="00D656C2">
        <w:rPr>
          <w:rFonts w:ascii="Times New Roman" w:hAnsi="Times New Roman" w:cs="Times New Roman"/>
        </w:rPr>
        <w:t xml:space="preserve">. Executive </w:t>
      </w:r>
      <w:proofErr w:type="spellStart"/>
      <w:r w:rsidR="00F94B14" w:rsidRPr="00D656C2">
        <w:rPr>
          <w:rFonts w:ascii="Times New Roman" w:hAnsi="Times New Roman" w:cs="Times New Roman"/>
        </w:rPr>
        <w:t>Summary</w:t>
      </w:r>
      <w:proofErr w:type="spellEnd"/>
      <w:r w:rsidR="00F94B14" w:rsidRPr="00D656C2">
        <w:rPr>
          <w:rFonts w:ascii="Times New Roman" w:hAnsi="Times New Roman" w:cs="Times New Roman"/>
        </w:rPr>
        <w:t xml:space="preserve"> e Raccomandazione Strategica per XYFARMA</w:t>
      </w:r>
    </w:p>
    <w:p w14:paraId="2A25A1C5" w14:textId="77777777" w:rsidR="00F94B14" w:rsidRPr="00D656C2" w:rsidRDefault="00F94B14" w:rsidP="00B56067">
      <w:p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>Sulla base dell'analisi integrata dei dati storici dal 2020 al 2025, emerge un quadro epidemiologico e di mercato chiaro:</w:t>
      </w:r>
    </w:p>
    <w:p w14:paraId="00BBCF13" w14:textId="77777777" w:rsidR="00F94B14" w:rsidRPr="00D656C2" w:rsidRDefault="00F94B14" w:rsidP="00B56067">
      <w:p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b/>
          <w:bCs/>
        </w:rPr>
        <w:t>Analisi dello Scenario:</w:t>
      </w:r>
    </w:p>
    <w:p w14:paraId="4003AA79" w14:textId="77777777" w:rsidR="00F94B14" w:rsidRPr="00D656C2" w:rsidRDefault="00F94B14" w:rsidP="00B56067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b/>
          <w:bCs/>
        </w:rPr>
        <w:t>Da Pandemia a Endemia:</w:t>
      </w:r>
      <w:r w:rsidRPr="00D656C2">
        <w:rPr>
          <w:rFonts w:ascii="Times New Roman" w:hAnsi="Times New Roman" w:cs="Times New Roman"/>
        </w:rPr>
        <w:t xml:space="preserve"> I grafici di andamento mostrano che, dopo i picchi critici del 2020-2022, il rapporto </w:t>
      </w:r>
      <w:r w:rsidRPr="00D656C2">
        <w:rPr>
          <w:rFonts w:ascii="Times New Roman" w:hAnsi="Times New Roman" w:cs="Times New Roman"/>
          <w:i/>
          <w:iCs/>
        </w:rPr>
        <w:t>Deceduti / Contagiati</w:t>
      </w:r>
      <w:r w:rsidRPr="00D656C2">
        <w:rPr>
          <w:rFonts w:ascii="Times New Roman" w:hAnsi="Times New Roman" w:cs="Times New Roman"/>
        </w:rPr>
        <w:t xml:space="preserve"> (Tasso di Letalità) è drasticamente crollato, confermando l'enorme successo e l'efficacia delle prime campagne vaccinali di massa.</w:t>
      </w:r>
    </w:p>
    <w:p w14:paraId="28FECF98" w14:textId="77777777" w:rsidR="00B45EF9" w:rsidRDefault="00203A99" w:rsidP="00B56067">
      <w:pPr>
        <w:keepNext/>
        <w:ind w:left="720"/>
        <w:jc w:val="both"/>
      </w:pPr>
      <w:r w:rsidRPr="00D656C2">
        <w:rPr>
          <w:rFonts w:ascii="Times New Roman" w:hAnsi="Times New Roman" w:cs="Times New Roman"/>
          <w:noProof/>
        </w:rPr>
        <w:drawing>
          <wp:inline distT="0" distB="0" distL="0" distR="0" wp14:anchorId="2DC16AC5" wp14:editId="6D1DEC28">
            <wp:extent cx="5093713" cy="3797845"/>
            <wp:effectExtent l="0" t="0" r="12065" b="12700"/>
            <wp:docPr id="251666173" name="Grafico 2">
              <a:extLst xmlns:a="http://schemas.openxmlformats.org/drawingml/2006/main">
                <a:ext uri="{FF2B5EF4-FFF2-40B4-BE49-F238E27FC236}">
                  <a16:creationId xmlns:a16="http://schemas.microsoft.com/office/drawing/2014/main" id="{94D52BF8-987F-484F-4F71-22A158BBD65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646ED1F7" w14:textId="1B04FCCD" w:rsidR="00364312" w:rsidRDefault="00B45EF9" w:rsidP="00B56067">
      <w:pPr>
        <w:pStyle w:val="Didascalia"/>
        <w:ind w:firstLine="708"/>
        <w:jc w:val="both"/>
      </w:pPr>
      <w:r>
        <w:t xml:space="preserve">Figura </w:t>
      </w:r>
      <w:fldSimple w:instr=" SEQ Figura \* ARABIC ">
        <w:r>
          <w:rPr>
            <w:noProof/>
          </w:rPr>
          <w:t>1</w:t>
        </w:r>
      </w:fldSimple>
      <w:r>
        <w:t>. Elaborazione grafica su dati presenti nell'analisi collegata</w:t>
      </w:r>
    </w:p>
    <w:p w14:paraId="7453A1C9" w14:textId="77777777" w:rsidR="00075381" w:rsidRPr="00075381" w:rsidRDefault="00075381" w:rsidP="00075381"/>
    <w:p w14:paraId="67AFC1FE" w14:textId="03484C96" w:rsidR="00F94B14" w:rsidRPr="00D656C2" w:rsidRDefault="00F94B14" w:rsidP="00B56067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b/>
          <w:bCs/>
        </w:rPr>
        <w:lastRenderedPageBreak/>
        <w:t>Crollo della domanda di massa:</w:t>
      </w:r>
      <w:r w:rsidRPr="00D656C2">
        <w:rPr>
          <w:rFonts w:ascii="Times New Roman" w:hAnsi="Times New Roman" w:cs="Times New Roman"/>
        </w:rPr>
        <w:t xml:space="preserve"> I dati sulle somministrazioni evidenziano una flessione verticale nelle dosi erogate negli ultimi due anni. La popolazione ha ormai sviluppato un'immunità ibrida (da vaccino e da pregressa infezione), riducendo la percezione del rischio e, di conseguenza, la richiesta di nuovi cicli vaccinali per la popolazione generale.</w:t>
      </w:r>
    </w:p>
    <w:p w14:paraId="22772396" w14:textId="77777777" w:rsidR="00B45EF9" w:rsidRDefault="000E1FD5" w:rsidP="00B56067">
      <w:pPr>
        <w:keepNext/>
        <w:ind w:left="720"/>
        <w:jc w:val="both"/>
      </w:pPr>
      <w:r w:rsidRPr="00D656C2">
        <w:rPr>
          <w:rFonts w:ascii="Times New Roman" w:hAnsi="Times New Roman" w:cs="Times New Roman"/>
          <w:noProof/>
        </w:rPr>
        <w:drawing>
          <wp:inline distT="0" distB="0" distL="0" distR="0" wp14:anchorId="34F0D4F9" wp14:editId="53372755">
            <wp:extent cx="5183470" cy="4033457"/>
            <wp:effectExtent l="0" t="0" r="17780" b="5715"/>
            <wp:docPr id="1245549064" name="Grafico 3">
              <a:extLst xmlns:a="http://schemas.openxmlformats.org/drawingml/2006/main">
                <a:ext uri="{FF2B5EF4-FFF2-40B4-BE49-F238E27FC236}">
                  <a16:creationId xmlns:a16="http://schemas.microsoft.com/office/drawing/2014/main" id="{F32F7BEE-8562-13E3-4FBE-A1FB127E872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3AA3FE87" w14:textId="1308088C" w:rsidR="00B300F9" w:rsidRPr="00D656C2" w:rsidRDefault="00B45EF9" w:rsidP="00B56067">
      <w:pPr>
        <w:pStyle w:val="Didascalia"/>
        <w:ind w:firstLine="708"/>
        <w:jc w:val="both"/>
        <w:rPr>
          <w:rFonts w:ascii="Times New Roman" w:hAnsi="Times New Roman" w:cs="Times New Roman"/>
        </w:rPr>
      </w:pPr>
      <w:r>
        <w:t xml:space="preserve">Figura </w:t>
      </w:r>
      <w:fldSimple w:instr=" SEQ Figura \* ARABIC ">
        <w:r>
          <w:rPr>
            <w:noProof/>
          </w:rPr>
          <w:t>2</w:t>
        </w:r>
      </w:fldSimple>
      <w:r>
        <w:t>.</w:t>
      </w:r>
      <w:r w:rsidRPr="00EA3E5B">
        <w:t xml:space="preserve"> Elaborazione grafica su dati presenti nell'analisi collegata</w:t>
      </w:r>
    </w:p>
    <w:p w14:paraId="5CB21100" w14:textId="77777777" w:rsidR="00F94B14" w:rsidRPr="00D656C2" w:rsidRDefault="00F94B14" w:rsidP="00B56067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b/>
          <w:bCs/>
        </w:rPr>
        <w:t>Stagionalità del virus:</w:t>
      </w:r>
      <w:r w:rsidRPr="00D656C2">
        <w:rPr>
          <w:rFonts w:ascii="Times New Roman" w:hAnsi="Times New Roman" w:cs="Times New Roman"/>
        </w:rPr>
        <w:t xml:space="preserve"> L'analisi per trimestri (Q1-Q4) conferma che i contagi seguono ormai un andamento stagionale, con picchi prevalentemente nei mesi autunnali e invernali, assimilabile all'influenza.</w:t>
      </w:r>
    </w:p>
    <w:p w14:paraId="775EC07C" w14:textId="77777777" w:rsidR="00B45EF9" w:rsidRDefault="008808EF" w:rsidP="00B56067">
      <w:pPr>
        <w:keepNext/>
        <w:ind w:left="720"/>
        <w:jc w:val="both"/>
      </w:pPr>
      <w:r w:rsidRPr="00D656C2">
        <w:rPr>
          <w:rFonts w:ascii="Times New Roman" w:hAnsi="Times New Roman" w:cs="Times New Roman"/>
          <w:noProof/>
        </w:rPr>
        <w:drawing>
          <wp:inline distT="0" distB="0" distL="0" distR="0" wp14:anchorId="135DDC8D" wp14:editId="3C952110">
            <wp:extent cx="4981517" cy="2552466"/>
            <wp:effectExtent l="0" t="0" r="10160" b="635"/>
            <wp:docPr id="444738111" name="Grafico 4">
              <a:extLst xmlns:a="http://schemas.openxmlformats.org/drawingml/2006/main">
                <a:ext uri="{FF2B5EF4-FFF2-40B4-BE49-F238E27FC236}">
                  <a16:creationId xmlns:a16="http://schemas.microsoft.com/office/drawing/2014/main" id="{8307732F-91D3-3AC2-CEC8-95340B666B7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0F6EA1E2" w14:textId="66E3C644" w:rsidR="00E16188" w:rsidRPr="00D656C2" w:rsidRDefault="00B45EF9" w:rsidP="00B56067">
      <w:pPr>
        <w:pStyle w:val="Didascalia"/>
        <w:ind w:firstLine="708"/>
        <w:jc w:val="both"/>
        <w:rPr>
          <w:rFonts w:ascii="Times New Roman" w:hAnsi="Times New Roman" w:cs="Times New Roman"/>
        </w:rPr>
      </w:pPr>
      <w:r>
        <w:t xml:space="preserve">Figura </w:t>
      </w:r>
      <w:fldSimple w:instr=" SEQ Figura \* ARABIC ">
        <w:r>
          <w:rPr>
            <w:noProof/>
          </w:rPr>
          <w:t>3</w:t>
        </w:r>
      </w:fldSimple>
      <w:r>
        <w:t xml:space="preserve">. </w:t>
      </w:r>
      <w:r w:rsidRPr="00462084">
        <w:t>Elaborazione grafica su dati presenti nell'analisi collegata</w:t>
      </w:r>
    </w:p>
    <w:p w14:paraId="36432423" w14:textId="77777777" w:rsidR="00F94B14" w:rsidRPr="00D656C2" w:rsidRDefault="00F94B14" w:rsidP="00B56067">
      <w:p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b/>
          <w:bCs/>
        </w:rPr>
        <w:lastRenderedPageBreak/>
        <w:t>Raccomandazione Strategica:</w:t>
      </w:r>
      <w:r w:rsidRPr="00D656C2">
        <w:rPr>
          <w:rFonts w:ascii="Times New Roman" w:hAnsi="Times New Roman" w:cs="Times New Roman"/>
        </w:rPr>
        <w:t xml:space="preserve"> Alla luce di queste evidenze, si suggerisce a XYFARMA la seguente linea d'azione:</w:t>
      </w:r>
    </w:p>
    <w:p w14:paraId="48CE2536" w14:textId="3330E61D" w:rsidR="00F94B14" w:rsidRPr="00D656C2" w:rsidRDefault="00F94B14" w:rsidP="00B56067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  <w:b/>
          <w:bCs/>
        </w:rPr>
        <w:t>NO allo sviluppo di un vaccino universale di massa:</w:t>
      </w:r>
      <w:r w:rsidRPr="00D656C2">
        <w:rPr>
          <w:rFonts w:ascii="Times New Roman" w:hAnsi="Times New Roman" w:cs="Times New Roman"/>
        </w:rPr>
        <w:t xml:space="preserve"> I costi di Ricerca &amp; Sviluppo, produzione e distribuzione per un vaccino rivolto alla popolazione generale non sarebbero giustificati, data l'attuale saturazione del mercato</w:t>
      </w:r>
      <w:r w:rsidR="004C2054" w:rsidRPr="00D656C2">
        <w:rPr>
          <w:rFonts w:ascii="Times New Roman" w:hAnsi="Times New Roman" w:cs="Times New Roman"/>
        </w:rPr>
        <w:t>.</w:t>
      </w:r>
    </w:p>
    <w:p w14:paraId="4A2361A3" w14:textId="15A4D36C" w:rsidR="007D2E9D" w:rsidRPr="00D656C2" w:rsidRDefault="00F94B14" w:rsidP="00B56067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D656C2">
        <w:rPr>
          <w:rFonts w:ascii="Times New Roman" w:hAnsi="Times New Roman" w:cs="Times New Roman"/>
        </w:rPr>
        <w:t xml:space="preserve">Per massimizzare la penetrazione in questo mercato ristretto, XYFARMA dovrebbe valutare la fattibilità di un </w:t>
      </w:r>
      <w:r w:rsidRPr="00D656C2">
        <w:rPr>
          <w:rFonts w:ascii="Times New Roman" w:hAnsi="Times New Roman" w:cs="Times New Roman"/>
          <w:b/>
          <w:bCs/>
        </w:rPr>
        <w:t>vaccino combinato (Antinfluenzale + Anti-Covid)</w:t>
      </w:r>
      <w:r w:rsidRPr="00D656C2">
        <w:rPr>
          <w:rFonts w:ascii="Times New Roman" w:hAnsi="Times New Roman" w:cs="Times New Roman"/>
        </w:rPr>
        <w:t>, che incentiverebbe la somministrazione offrendo una doppia copertura con una singola dose durante la campagna autunnale.</w:t>
      </w:r>
    </w:p>
    <w:sectPr w:rsidR="007D2E9D" w:rsidRPr="00D656C2">
      <w:headerReference w:type="default" r:id="rId14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88536" w14:textId="77777777" w:rsidR="00F579AF" w:rsidRDefault="00F579AF" w:rsidP="00562723">
      <w:pPr>
        <w:spacing w:after="0" w:line="240" w:lineRule="auto"/>
      </w:pPr>
      <w:r>
        <w:separator/>
      </w:r>
    </w:p>
  </w:endnote>
  <w:endnote w:type="continuationSeparator" w:id="0">
    <w:p w14:paraId="347E700E" w14:textId="77777777" w:rsidR="00F579AF" w:rsidRDefault="00F579AF" w:rsidP="005627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0240D" w14:textId="77777777" w:rsidR="00F579AF" w:rsidRDefault="00F579AF" w:rsidP="00562723">
      <w:pPr>
        <w:spacing w:after="0" w:line="240" w:lineRule="auto"/>
      </w:pPr>
      <w:r>
        <w:separator/>
      </w:r>
    </w:p>
  </w:footnote>
  <w:footnote w:type="continuationSeparator" w:id="0">
    <w:p w14:paraId="15C57666" w14:textId="77777777" w:rsidR="00F579AF" w:rsidRDefault="00F579AF" w:rsidP="005627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09B9F" w14:textId="3416C884" w:rsidR="00504484" w:rsidRDefault="00504484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B9ED93D" wp14:editId="6800AEA8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ttangolo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5678689" id="Rettangolo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37373 [1614]" strokeweight="1.25pt">
              <w10:wrap anchorx="page" anchory="page"/>
            </v:rect>
          </w:pict>
        </mc:Fallback>
      </mc:AlternateContent>
    </w:r>
    <w:sdt>
      <w:sdtPr>
        <w:rPr>
          <w:color w:val="156082" w:themeColor="accent1"/>
          <w:sz w:val="20"/>
          <w:szCs w:val="20"/>
        </w:rPr>
        <w:alias w:val="Titolo"/>
        <w:id w:val="15524250"/>
        <w:placeholder>
          <w:docPart w:val="8B838749F0964BB48F176E12C6866A8D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>
          <w:rPr>
            <w:color w:val="156082" w:themeColor="accent1"/>
            <w:sz w:val="20"/>
            <w:szCs w:val="20"/>
          </w:rPr>
          <w:t>TEAM 1</w:t>
        </w:r>
      </w:sdtContent>
    </w:sdt>
  </w:p>
  <w:p w14:paraId="12A842B2" w14:textId="77777777" w:rsidR="00562723" w:rsidRDefault="00562723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D121F"/>
    <w:multiLevelType w:val="multilevel"/>
    <w:tmpl w:val="A4364874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B14A1"/>
    <w:multiLevelType w:val="multilevel"/>
    <w:tmpl w:val="4422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B2360"/>
    <w:multiLevelType w:val="multilevel"/>
    <w:tmpl w:val="9308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C2BC1"/>
    <w:multiLevelType w:val="multilevel"/>
    <w:tmpl w:val="A3D6F4E8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B5614"/>
    <w:multiLevelType w:val="multilevel"/>
    <w:tmpl w:val="2FA0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45290"/>
    <w:multiLevelType w:val="multilevel"/>
    <w:tmpl w:val="5D9E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0525F"/>
    <w:multiLevelType w:val="multilevel"/>
    <w:tmpl w:val="8224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76DBB"/>
    <w:multiLevelType w:val="multilevel"/>
    <w:tmpl w:val="F63E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B0672"/>
    <w:multiLevelType w:val="multilevel"/>
    <w:tmpl w:val="DEB4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A05D5D"/>
    <w:multiLevelType w:val="multilevel"/>
    <w:tmpl w:val="1F9C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27733D"/>
    <w:multiLevelType w:val="multilevel"/>
    <w:tmpl w:val="7BE6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2D40B6"/>
    <w:multiLevelType w:val="multilevel"/>
    <w:tmpl w:val="8C04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0C469A"/>
    <w:multiLevelType w:val="hybridMultilevel"/>
    <w:tmpl w:val="858E2A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9A3081"/>
    <w:multiLevelType w:val="hybridMultilevel"/>
    <w:tmpl w:val="EC02CC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E3083C"/>
    <w:multiLevelType w:val="multilevel"/>
    <w:tmpl w:val="187C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CD12A3"/>
    <w:multiLevelType w:val="multilevel"/>
    <w:tmpl w:val="3108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51587D"/>
    <w:multiLevelType w:val="multilevel"/>
    <w:tmpl w:val="DFD4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DB6899"/>
    <w:multiLevelType w:val="multilevel"/>
    <w:tmpl w:val="2628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D2664C"/>
    <w:multiLevelType w:val="hybridMultilevel"/>
    <w:tmpl w:val="73E6BDE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4B5454"/>
    <w:multiLevelType w:val="multilevel"/>
    <w:tmpl w:val="DF7E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6C6CA1"/>
    <w:multiLevelType w:val="multilevel"/>
    <w:tmpl w:val="5C0C9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4F2265"/>
    <w:multiLevelType w:val="multilevel"/>
    <w:tmpl w:val="70A85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E73134"/>
    <w:multiLevelType w:val="multilevel"/>
    <w:tmpl w:val="C8505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8F80513"/>
    <w:multiLevelType w:val="multilevel"/>
    <w:tmpl w:val="CC2A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237620"/>
    <w:multiLevelType w:val="multilevel"/>
    <w:tmpl w:val="F444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FF6981"/>
    <w:multiLevelType w:val="multilevel"/>
    <w:tmpl w:val="A142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98696C"/>
    <w:multiLevelType w:val="multilevel"/>
    <w:tmpl w:val="4DF6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9D29CC"/>
    <w:multiLevelType w:val="multilevel"/>
    <w:tmpl w:val="816A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624971">
    <w:abstractNumId w:val="11"/>
  </w:num>
  <w:num w:numId="2" w16cid:durableId="669720205">
    <w:abstractNumId w:val="17"/>
  </w:num>
  <w:num w:numId="3" w16cid:durableId="503590236">
    <w:abstractNumId w:val="15"/>
  </w:num>
  <w:num w:numId="4" w16cid:durableId="1055008036">
    <w:abstractNumId w:val="20"/>
  </w:num>
  <w:num w:numId="5" w16cid:durableId="736586875">
    <w:abstractNumId w:val="6"/>
  </w:num>
  <w:num w:numId="6" w16cid:durableId="663751229">
    <w:abstractNumId w:val="19"/>
  </w:num>
  <w:num w:numId="7" w16cid:durableId="448821366">
    <w:abstractNumId w:val="5"/>
  </w:num>
  <w:num w:numId="8" w16cid:durableId="1831407631">
    <w:abstractNumId w:val="8"/>
  </w:num>
  <w:num w:numId="9" w16cid:durableId="1534028142">
    <w:abstractNumId w:val="16"/>
  </w:num>
  <w:num w:numId="10" w16cid:durableId="1454401886">
    <w:abstractNumId w:val="21"/>
  </w:num>
  <w:num w:numId="11" w16cid:durableId="2115203245">
    <w:abstractNumId w:val="0"/>
  </w:num>
  <w:num w:numId="12" w16cid:durableId="308485193">
    <w:abstractNumId w:val="27"/>
  </w:num>
  <w:num w:numId="13" w16cid:durableId="388725509">
    <w:abstractNumId w:val="2"/>
  </w:num>
  <w:num w:numId="14" w16cid:durableId="1700740993">
    <w:abstractNumId w:val="10"/>
  </w:num>
  <w:num w:numId="15" w16cid:durableId="896669620">
    <w:abstractNumId w:val="24"/>
  </w:num>
  <w:num w:numId="16" w16cid:durableId="1155418683">
    <w:abstractNumId w:val="23"/>
  </w:num>
  <w:num w:numId="17" w16cid:durableId="339083437">
    <w:abstractNumId w:val="26"/>
  </w:num>
  <w:num w:numId="18" w16cid:durableId="2065986914">
    <w:abstractNumId w:val="3"/>
  </w:num>
  <w:num w:numId="19" w16cid:durableId="1066418223">
    <w:abstractNumId w:val="22"/>
  </w:num>
  <w:num w:numId="20" w16cid:durableId="1519157088">
    <w:abstractNumId w:val="7"/>
  </w:num>
  <w:num w:numId="21" w16cid:durableId="1178617451">
    <w:abstractNumId w:val="13"/>
  </w:num>
  <w:num w:numId="22" w16cid:durableId="37358847">
    <w:abstractNumId w:val="12"/>
  </w:num>
  <w:num w:numId="23" w16cid:durableId="285308179">
    <w:abstractNumId w:val="25"/>
  </w:num>
  <w:num w:numId="24" w16cid:durableId="892892376">
    <w:abstractNumId w:val="9"/>
  </w:num>
  <w:num w:numId="25" w16cid:durableId="1031764906">
    <w:abstractNumId w:val="14"/>
  </w:num>
  <w:num w:numId="26" w16cid:durableId="784157767">
    <w:abstractNumId w:val="4"/>
  </w:num>
  <w:num w:numId="27" w16cid:durableId="140657059">
    <w:abstractNumId w:val="1"/>
  </w:num>
  <w:num w:numId="28" w16cid:durableId="191944266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628"/>
    <w:rsid w:val="0000769A"/>
    <w:rsid w:val="00043887"/>
    <w:rsid w:val="00062598"/>
    <w:rsid w:val="00064009"/>
    <w:rsid w:val="00075381"/>
    <w:rsid w:val="000836B0"/>
    <w:rsid w:val="000913EA"/>
    <w:rsid w:val="000963C6"/>
    <w:rsid w:val="000A5AC8"/>
    <w:rsid w:val="000A7C5E"/>
    <w:rsid w:val="000D3269"/>
    <w:rsid w:val="000E1FD5"/>
    <w:rsid w:val="000E3CAF"/>
    <w:rsid w:val="00135EC4"/>
    <w:rsid w:val="001430EC"/>
    <w:rsid w:val="0016641A"/>
    <w:rsid w:val="0018169E"/>
    <w:rsid w:val="001C0069"/>
    <w:rsid w:val="001D2FFB"/>
    <w:rsid w:val="001E4DF2"/>
    <w:rsid w:val="001E726E"/>
    <w:rsid w:val="00203A99"/>
    <w:rsid w:val="00217BDC"/>
    <w:rsid w:val="00222BDA"/>
    <w:rsid w:val="00223D26"/>
    <w:rsid w:val="00247C94"/>
    <w:rsid w:val="002545CC"/>
    <w:rsid w:val="00254B35"/>
    <w:rsid w:val="00292868"/>
    <w:rsid w:val="002A0B8B"/>
    <w:rsid w:val="002B39EB"/>
    <w:rsid w:val="002D1211"/>
    <w:rsid w:val="00312DA8"/>
    <w:rsid w:val="00320250"/>
    <w:rsid w:val="00343822"/>
    <w:rsid w:val="00364312"/>
    <w:rsid w:val="00392B3D"/>
    <w:rsid w:val="003A2BDC"/>
    <w:rsid w:val="003A5994"/>
    <w:rsid w:val="003C2484"/>
    <w:rsid w:val="004114E3"/>
    <w:rsid w:val="00413B94"/>
    <w:rsid w:val="0041497E"/>
    <w:rsid w:val="004226D8"/>
    <w:rsid w:val="004348F6"/>
    <w:rsid w:val="00436F03"/>
    <w:rsid w:val="00450CC6"/>
    <w:rsid w:val="00493229"/>
    <w:rsid w:val="004A4E54"/>
    <w:rsid w:val="004C2054"/>
    <w:rsid w:val="004E3D9C"/>
    <w:rsid w:val="004E4883"/>
    <w:rsid w:val="004F4448"/>
    <w:rsid w:val="00504484"/>
    <w:rsid w:val="00504515"/>
    <w:rsid w:val="00505851"/>
    <w:rsid w:val="00521FE1"/>
    <w:rsid w:val="00531812"/>
    <w:rsid w:val="0054318C"/>
    <w:rsid w:val="00547E7C"/>
    <w:rsid w:val="0055081F"/>
    <w:rsid w:val="005549CB"/>
    <w:rsid w:val="00562723"/>
    <w:rsid w:val="00571B28"/>
    <w:rsid w:val="00574D04"/>
    <w:rsid w:val="00575556"/>
    <w:rsid w:val="00584DB1"/>
    <w:rsid w:val="005A3659"/>
    <w:rsid w:val="005C7563"/>
    <w:rsid w:val="005F6FFA"/>
    <w:rsid w:val="0060566A"/>
    <w:rsid w:val="00641B69"/>
    <w:rsid w:val="00653628"/>
    <w:rsid w:val="006827DF"/>
    <w:rsid w:val="006B4012"/>
    <w:rsid w:val="006C6002"/>
    <w:rsid w:val="006E5D23"/>
    <w:rsid w:val="007047AA"/>
    <w:rsid w:val="00706F59"/>
    <w:rsid w:val="00710BE4"/>
    <w:rsid w:val="00713CDE"/>
    <w:rsid w:val="00715C25"/>
    <w:rsid w:val="00727EC0"/>
    <w:rsid w:val="007717AE"/>
    <w:rsid w:val="0077622A"/>
    <w:rsid w:val="007812F7"/>
    <w:rsid w:val="007B1E96"/>
    <w:rsid w:val="007C086F"/>
    <w:rsid w:val="007C20EF"/>
    <w:rsid w:val="007D2E9D"/>
    <w:rsid w:val="00862B67"/>
    <w:rsid w:val="00877594"/>
    <w:rsid w:val="008808EF"/>
    <w:rsid w:val="008A4CBF"/>
    <w:rsid w:val="008C1A9D"/>
    <w:rsid w:val="008F6A84"/>
    <w:rsid w:val="009004A8"/>
    <w:rsid w:val="009039C8"/>
    <w:rsid w:val="0090791F"/>
    <w:rsid w:val="00914B76"/>
    <w:rsid w:val="0092009C"/>
    <w:rsid w:val="009233D8"/>
    <w:rsid w:val="0093282D"/>
    <w:rsid w:val="0093589D"/>
    <w:rsid w:val="0094054F"/>
    <w:rsid w:val="00960ECD"/>
    <w:rsid w:val="0096293E"/>
    <w:rsid w:val="00970E15"/>
    <w:rsid w:val="009939BD"/>
    <w:rsid w:val="009A372E"/>
    <w:rsid w:val="009C2CFB"/>
    <w:rsid w:val="009E1696"/>
    <w:rsid w:val="009F65D6"/>
    <w:rsid w:val="00A052BC"/>
    <w:rsid w:val="00A2157A"/>
    <w:rsid w:val="00A2368C"/>
    <w:rsid w:val="00A42904"/>
    <w:rsid w:val="00A4298C"/>
    <w:rsid w:val="00A5291F"/>
    <w:rsid w:val="00AA2AED"/>
    <w:rsid w:val="00AB269C"/>
    <w:rsid w:val="00AD0DF2"/>
    <w:rsid w:val="00AD4402"/>
    <w:rsid w:val="00AF72F2"/>
    <w:rsid w:val="00B300F9"/>
    <w:rsid w:val="00B45EF9"/>
    <w:rsid w:val="00B47CE8"/>
    <w:rsid w:val="00B56067"/>
    <w:rsid w:val="00B640D0"/>
    <w:rsid w:val="00B67ECE"/>
    <w:rsid w:val="00B70145"/>
    <w:rsid w:val="00BC46B2"/>
    <w:rsid w:val="00BE7A0F"/>
    <w:rsid w:val="00BF23D5"/>
    <w:rsid w:val="00C25323"/>
    <w:rsid w:val="00C337EA"/>
    <w:rsid w:val="00C3666F"/>
    <w:rsid w:val="00C441E1"/>
    <w:rsid w:val="00C52E71"/>
    <w:rsid w:val="00C5616F"/>
    <w:rsid w:val="00C70C76"/>
    <w:rsid w:val="00C87397"/>
    <w:rsid w:val="00D004BB"/>
    <w:rsid w:val="00D007B2"/>
    <w:rsid w:val="00D04A6C"/>
    <w:rsid w:val="00D33943"/>
    <w:rsid w:val="00D370DB"/>
    <w:rsid w:val="00D656C2"/>
    <w:rsid w:val="00D82E5A"/>
    <w:rsid w:val="00D90FF1"/>
    <w:rsid w:val="00DA7214"/>
    <w:rsid w:val="00DB383B"/>
    <w:rsid w:val="00DC2F62"/>
    <w:rsid w:val="00DD7003"/>
    <w:rsid w:val="00DE4D72"/>
    <w:rsid w:val="00DE6BA2"/>
    <w:rsid w:val="00E100F1"/>
    <w:rsid w:val="00E16188"/>
    <w:rsid w:val="00E23896"/>
    <w:rsid w:val="00E7483E"/>
    <w:rsid w:val="00E912B0"/>
    <w:rsid w:val="00E939E8"/>
    <w:rsid w:val="00EA146D"/>
    <w:rsid w:val="00EB5E09"/>
    <w:rsid w:val="00EB7AA6"/>
    <w:rsid w:val="00F01CD5"/>
    <w:rsid w:val="00F03E04"/>
    <w:rsid w:val="00F1577D"/>
    <w:rsid w:val="00F348CC"/>
    <w:rsid w:val="00F547F1"/>
    <w:rsid w:val="00F579AF"/>
    <w:rsid w:val="00F73578"/>
    <w:rsid w:val="00F8687B"/>
    <w:rsid w:val="00F94B14"/>
    <w:rsid w:val="00FA41C8"/>
    <w:rsid w:val="00FA5EC0"/>
    <w:rsid w:val="00FC4A3E"/>
    <w:rsid w:val="00FE096B"/>
    <w:rsid w:val="00FE3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F1A03"/>
  <w15:chartTrackingRefBased/>
  <w15:docId w15:val="{2D57E7BA-FF00-4070-9B2C-7412F4544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53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AA2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53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53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53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53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53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53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53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53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AA2AE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53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5362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5362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5362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5362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5362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5362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53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53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53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53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53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5362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5362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5362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53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5362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53628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9039C8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9039C8"/>
    <w:rPr>
      <w:color w:val="605E5C"/>
      <w:shd w:val="clear" w:color="auto" w:fill="E1DFDD"/>
    </w:rPr>
  </w:style>
  <w:style w:type="paragraph" w:styleId="Didascalia">
    <w:name w:val="caption"/>
    <w:basedOn w:val="Normale"/>
    <w:next w:val="Normale"/>
    <w:uiPriority w:val="35"/>
    <w:unhideWhenUsed/>
    <w:qFormat/>
    <w:rsid w:val="00B45EF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Intestazione">
    <w:name w:val="header"/>
    <w:basedOn w:val="Normale"/>
    <w:link w:val="IntestazioneCarattere"/>
    <w:uiPriority w:val="99"/>
    <w:unhideWhenUsed/>
    <w:rsid w:val="0056272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562723"/>
  </w:style>
  <w:style w:type="paragraph" w:styleId="Pidipagina">
    <w:name w:val="footer"/>
    <w:basedOn w:val="Normale"/>
    <w:link w:val="PidipaginaCarattere"/>
    <w:uiPriority w:val="99"/>
    <w:unhideWhenUsed/>
    <w:rsid w:val="0056272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5627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talia/covid19-opendata-vaccini/tree/master?tab=readme-ov-file" TargetMode="External"/><Relationship Id="rId13" Type="http://schemas.openxmlformats.org/officeDocument/2006/relationships/chart" Target="charts/chart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pcm-dpc/COVID-19/tree/master" TargetMode="External"/><Relationship Id="rId14" Type="http://schemas.openxmlformats.org/officeDocument/2006/relationships/header" Target="head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5fed6fcf638bcbf0/BW%201/Analisi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5fed6fcf638bcbf0/BW%201/Analisi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5fed6fcf638bcbf0/BW%201/Analisi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it-IT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[Analisi.xlsx]Analisi rapporti!Tabella pivot1</c:name>
    <c:fmtId val="-1"/>
  </c:pivotSource>
  <c:chart>
    <c:autoTitleDeleted val="1"/>
    <c:pivotFmts>
      <c:pivotFmt>
        <c:idx val="0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it-IT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it-IT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it-IT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lineChart>
        <c:grouping val="standard"/>
        <c:varyColors val="0"/>
        <c:ser>
          <c:idx val="0"/>
          <c:order val="0"/>
          <c:tx>
            <c:strRef>
              <c:f>'Analisi rapporti'!$Q$32</c:f>
              <c:strCache>
                <c:ptCount val="1"/>
                <c:pt idx="0">
                  <c:v>Totale</c:v>
                </c:pt>
              </c:strCache>
            </c:strRef>
          </c:tx>
          <c:spPr>
            <a:ln w="34925" cap="rnd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circle"/>
            <c:size val="6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9525">
                <a:solidFill>
                  <a:schemeClr val="accent1"/>
                </a:solidFill>
                <a:round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</c:marker>
          <c:cat>
            <c:strRef>
              <c:f>'Analisi rapporti'!$P$33:$P$39</c:f>
              <c:strCache>
                <c:ptCount val="6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  <c:pt idx="5">
                  <c:v>2025</c:v>
                </c:pt>
              </c:strCache>
            </c:strRef>
          </c:cat>
          <c:val>
            <c:numRef>
              <c:f>'Analisi rapporti'!$Q$33:$Q$39</c:f>
              <c:numCache>
                <c:formatCode>0%</c:formatCode>
                <c:ptCount val="6"/>
                <c:pt idx="0">
                  <c:v>3.5044081033390365E-2</c:v>
                </c:pt>
                <c:pt idx="1">
                  <c:v>1.5199899266710958E-2</c:v>
                </c:pt>
                <c:pt idx="2">
                  <c:v>2.5053534185333335E-3</c:v>
                </c:pt>
                <c:pt idx="3">
                  <c:v>6.9316157664490799E-3</c:v>
                </c:pt>
                <c:pt idx="4">
                  <c:v>1.197870156872676E-2</c:v>
                </c:pt>
                <c:pt idx="5">
                  <c:v>2.8864656831302116E-2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761-4056-8D0F-28EDDC269E5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647528783"/>
        <c:axId val="647531183"/>
      </c:lineChart>
      <c:catAx>
        <c:axId val="64752878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it-IT"/>
          </a:p>
        </c:txPr>
        <c:crossAx val="647531183"/>
        <c:crosses val="autoZero"/>
        <c:auto val="1"/>
        <c:lblAlgn val="ctr"/>
        <c:lblOffset val="100"/>
        <c:noMultiLvlLbl val="0"/>
      </c:catAx>
      <c:valAx>
        <c:axId val="64753118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it-IT"/>
          </a:p>
        </c:txPr>
        <c:crossAx val="64752878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it-IT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it-IT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[Analisi.xlsx]Andamento Somministrazione!Tabella pivot7</c:name>
    <c:fmtId val="-1"/>
  </c:pivotSource>
  <c:chart>
    <c:autoTitleDeleted val="0"/>
    <c:pivotFmts>
      <c:pivotFmt>
        <c:idx val="0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it-IT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it-IT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3">
                    <a:satMod val="103000"/>
                    <a:lumMod val="102000"/>
                    <a:tint val="94000"/>
                  </a:schemeClr>
                </a:gs>
                <a:gs pos="50000">
                  <a:schemeClr val="accent3">
                    <a:satMod val="110000"/>
                    <a:lumMod val="100000"/>
                    <a:shade val="100000"/>
                  </a:schemeClr>
                </a:gs>
                <a:gs pos="100000">
                  <a:schemeClr val="accent3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3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it-IT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it-IT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it-IT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3">
                    <a:satMod val="103000"/>
                    <a:lumMod val="102000"/>
                    <a:tint val="94000"/>
                  </a:schemeClr>
                </a:gs>
                <a:gs pos="50000">
                  <a:schemeClr val="accent3">
                    <a:satMod val="110000"/>
                    <a:lumMod val="100000"/>
                    <a:shade val="100000"/>
                  </a:schemeClr>
                </a:gs>
                <a:gs pos="100000">
                  <a:schemeClr val="accent3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3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it-IT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it-IT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it-IT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3">
                    <a:satMod val="103000"/>
                    <a:lumMod val="102000"/>
                    <a:tint val="94000"/>
                  </a:schemeClr>
                </a:gs>
                <a:gs pos="50000">
                  <a:schemeClr val="accent3">
                    <a:satMod val="110000"/>
                    <a:lumMod val="100000"/>
                    <a:shade val="100000"/>
                  </a:schemeClr>
                </a:gs>
                <a:gs pos="100000">
                  <a:schemeClr val="accent3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3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it-IT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lineChart>
        <c:grouping val="standard"/>
        <c:varyColors val="0"/>
        <c:ser>
          <c:idx val="0"/>
          <c:order val="0"/>
          <c:tx>
            <c:strRef>
              <c:f>'Andamento Somministrazione'!$B$3:$B$4</c:f>
              <c:strCache>
                <c:ptCount val="1"/>
                <c:pt idx="0">
                  <c:v>2023</c:v>
                </c:pt>
              </c:strCache>
            </c:strRef>
          </c:tx>
          <c:spPr>
            <a:ln w="34925" cap="rnd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circle"/>
            <c:size val="6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9525">
                <a:solidFill>
                  <a:schemeClr val="accent1"/>
                </a:solidFill>
                <a:round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</c:marker>
          <c:cat>
            <c:strRef>
              <c:f>'Andamento Somministrazione'!$A$5:$A$16</c:f>
              <c:strCache>
                <c:ptCount val="1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</c:strCache>
            </c:strRef>
          </c:cat>
          <c:val>
            <c:numRef>
              <c:f>'Andamento Somministrazione'!$B$5:$B$16</c:f>
              <c:numCache>
                <c:formatCode>#,##0</c:formatCode>
                <c:ptCount val="12"/>
                <c:pt idx="0">
                  <c:v>389070</c:v>
                </c:pt>
                <c:pt idx="1">
                  <c:v>135140</c:v>
                </c:pt>
                <c:pt idx="2">
                  <c:v>71270</c:v>
                </c:pt>
                <c:pt idx="3">
                  <c:v>33200</c:v>
                </c:pt>
                <c:pt idx="4">
                  <c:v>26900</c:v>
                </c:pt>
                <c:pt idx="5">
                  <c:v>14390</c:v>
                </c:pt>
                <c:pt idx="6">
                  <c:v>4850</c:v>
                </c:pt>
                <c:pt idx="7">
                  <c:v>4110</c:v>
                </c:pt>
                <c:pt idx="8">
                  <c:v>2488</c:v>
                </c:pt>
                <c:pt idx="9">
                  <c:v>271930</c:v>
                </c:pt>
                <c:pt idx="10">
                  <c:v>847854</c:v>
                </c:pt>
                <c:pt idx="11">
                  <c:v>819856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8C3-4C55-AE85-441EF57F4BEE}"/>
            </c:ext>
          </c:extLst>
        </c:ser>
        <c:ser>
          <c:idx val="1"/>
          <c:order val="1"/>
          <c:tx>
            <c:strRef>
              <c:f>'Andamento Somministrazione'!$C$3:$C$4</c:f>
              <c:strCache>
                <c:ptCount val="1"/>
                <c:pt idx="0">
                  <c:v>2024</c:v>
                </c:pt>
              </c:strCache>
            </c:strRef>
          </c:tx>
          <c:spPr>
            <a:ln w="34925" cap="rnd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circle"/>
            <c:size val="6"/>
            <c:spPr>
              <a:gradFill rotWithShape="1">
                <a:gsLst>
                  <a:gs pos="0">
                    <a:schemeClr val="accent2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9525">
                <a:solidFill>
                  <a:schemeClr val="accent2"/>
                </a:solidFill>
                <a:round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</c:marker>
          <c:cat>
            <c:strRef>
              <c:f>'Andamento Somministrazione'!$A$5:$A$16</c:f>
              <c:strCache>
                <c:ptCount val="1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</c:strCache>
            </c:strRef>
          </c:cat>
          <c:val>
            <c:numRef>
              <c:f>'Andamento Somministrazione'!$C$5:$C$16</c:f>
              <c:numCache>
                <c:formatCode>#,##0</c:formatCode>
                <c:ptCount val="12"/>
                <c:pt idx="0">
                  <c:v>237716</c:v>
                </c:pt>
                <c:pt idx="1">
                  <c:v>27511</c:v>
                </c:pt>
                <c:pt idx="2">
                  <c:v>5981</c:v>
                </c:pt>
                <c:pt idx="3">
                  <c:v>1765</c:v>
                </c:pt>
                <c:pt idx="4">
                  <c:v>738</c:v>
                </c:pt>
                <c:pt idx="5">
                  <c:v>440</c:v>
                </c:pt>
                <c:pt idx="6">
                  <c:v>681</c:v>
                </c:pt>
                <c:pt idx="7">
                  <c:v>453</c:v>
                </c:pt>
                <c:pt idx="8">
                  <c:v>1291</c:v>
                </c:pt>
                <c:pt idx="9">
                  <c:v>364933</c:v>
                </c:pt>
                <c:pt idx="10">
                  <c:v>494945</c:v>
                </c:pt>
                <c:pt idx="11">
                  <c:v>124769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A8C3-4C55-AE85-441EF57F4BEE}"/>
            </c:ext>
          </c:extLst>
        </c:ser>
        <c:ser>
          <c:idx val="2"/>
          <c:order val="2"/>
          <c:tx>
            <c:strRef>
              <c:f>'Andamento Somministrazione'!$D$3:$D$4</c:f>
              <c:strCache>
                <c:ptCount val="1"/>
                <c:pt idx="0">
                  <c:v>2025</c:v>
                </c:pt>
              </c:strCache>
            </c:strRef>
          </c:tx>
          <c:spPr>
            <a:ln w="34925" cap="rnd">
              <a:solidFill>
                <a:schemeClr val="accent3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circle"/>
            <c:size val="6"/>
            <c:spPr>
              <a:gradFill rotWithShape="1">
                <a:gsLst>
                  <a:gs pos="0">
                    <a:schemeClr val="accent3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3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3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9525">
                <a:solidFill>
                  <a:schemeClr val="accent3"/>
                </a:solidFill>
                <a:round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</c:marker>
          <c:cat>
            <c:strRef>
              <c:f>'Andamento Somministrazione'!$A$5:$A$16</c:f>
              <c:strCache>
                <c:ptCount val="1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</c:strCache>
            </c:strRef>
          </c:cat>
          <c:val>
            <c:numRef>
              <c:f>'Andamento Somministrazione'!$D$5:$D$16</c:f>
              <c:numCache>
                <c:formatCode>General</c:formatCode>
                <c:ptCount val="12"/>
                <c:pt idx="0" formatCode="#,##0">
                  <c:v>2711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A8C3-4C55-AE85-441EF57F4BE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124318975"/>
        <c:axId val="2124318495"/>
      </c:lineChart>
      <c:catAx>
        <c:axId val="212431897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it-IT"/>
          </a:p>
        </c:txPr>
        <c:crossAx val="2124318495"/>
        <c:crosses val="autoZero"/>
        <c:auto val="1"/>
        <c:lblAlgn val="ctr"/>
        <c:lblOffset val="100"/>
        <c:noMultiLvlLbl val="0"/>
      </c:catAx>
      <c:valAx>
        <c:axId val="212431849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it-IT"/>
          </a:p>
        </c:txPr>
        <c:crossAx val="212431897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it-IT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it-IT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it-IT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[Analisi.xlsx]Tasso di Positività Reale!Tabella pivot3</c:name>
    <c:fmtId val="-1"/>
  </c:pivotSource>
  <c:chart>
    <c:autoTitleDeleted val="1"/>
    <c:pivotFmts>
      <c:pivotFmt>
        <c:idx val="0"/>
        <c:spPr>
          <a:solidFill>
            <a:schemeClr val="accent1"/>
          </a:solidFill>
          <a:ln w="19050" cap="rnd" cmpd="sng" algn="ctr">
            <a:solidFill>
              <a:schemeClr val="accent1">
                <a:shade val="95000"/>
                <a:satMod val="105000"/>
              </a:schemeClr>
            </a:solidFill>
            <a:round/>
          </a:ln>
          <a:effectLst/>
        </c:spPr>
        <c:marker>
          <c:symbol val="circle"/>
          <c:size val="17"/>
          <c:spPr>
            <a:solidFill>
              <a:schemeClr val="lt1"/>
            </a:solidFill>
            <a:ln>
              <a:noFill/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accent1"/>
                  </a:solidFill>
                  <a:latin typeface="+mn-lt"/>
                  <a:ea typeface="+mn-ea"/>
                  <a:cs typeface="+mn-cs"/>
                </a:defRPr>
              </a:pPr>
              <a:endParaRPr lang="it-IT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19050" cap="rnd" cmpd="sng" algn="ctr">
            <a:solidFill>
              <a:schemeClr val="accent1">
                <a:shade val="95000"/>
                <a:satMod val="105000"/>
              </a:schemeClr>
            </a:solidFill>
            <a:round/>
          </a:ln>
          <a:effectLst/>
        </c:spPr>
        <c:marker>
          <c:symbol val="circle"/>
          <c:size val="17"/>
          <c:spPr>
            <a:solidFill>
              <a:schemeClr val="lt1"/>
            </a:solidFill>
            <a:ln>
              <a:noFill/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accent1"/>
                  </a:solidFill>
                  <a:latin typeface="+mn-lt"/>
                  <a:ea typeface="+mn-ea"/>
                  <a:cs typeface="+mn-cs"/>
                </a:defRPr>
              </a:pPr>
              <a:endParaRPr lang="it-IT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 w="19050" cap="rnd" cmpd="sng" algn="ctr">
            <a:solidFill>
              <a:schemeClr val="accent1">
                <a:shade val="95000"/>
                <a:satMod val="105000"/>
              </a:schemeClr>
            </a:solidFill>
            <a:round/>
          </a:ln>
          <a:effectLst/>
        </c:spPr>
        <c:marker>
          <c:symbol val="circle"/>
          <c:size val="17"/>
          <c:spPr>
            <a:solidFill>
              <a:schemeClr val="lt1"/>
            </a:solidFill>
            <a:ln>
              <a:noFill/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accent1"/>
                  </a:solidFill>
                  <a:latin typeface="+mn-lt"/>
                  <a:ea typeface="+mn-ea"/>
                  <a:cs typeface="+mn-cs"/>
                </a:defRPr>
              </a:pPr>
              <a:endParaRPr lang="it-IT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lineChart>
        <c:grouping val="standard"/>
        <c:varyColors val="0"/>
        <c:ser>
          <c:idx val="0"/>
          <c:order val="0"/>
          <c:tx>
            <c:strRef>
              <c:f>'Tasso di Positività Reale'!$B$1</c:f>
              <c:strCache>
                <c:ptCount val="1"/>
                <c:pt idx="0">
                  <c:v>Totale</c:v>
                </c:pt>
              </c:strCache>
            </c:strRef>
          </c:tx>
          <c:spPr>
            <a:ln w="19050" cap="rnd" cmpd="sng" algn="ctr">
              <a:solidFill>
                <a:schemeClr val="accent1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1"/>
                    </a:solidFill>
                    <a:latin typeface="+mn-lt"/>
                    <a:ea typeface="+mn-ea"/>
                    <a:cs typeface="+mn-cs"/>
                  </a:defRPr>
                </a:pPr>
                <a:endParaRPr lang="it-IT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multiLvlStrRef>
              <c:f>'Tasso di Positività Reale'!$A$2:$A$28</c:f>
              <c:multiLvlStrCache>
                <c:ptCount val="21"/>
                <c:lvl>
                  <c:pt idx="0">
                    <c:v>Q1</c:v>
                  </c:pt>
                  <c:pt idx="1">
                    <c:v>Q2</c:v>
                  </c:pt>
                  <c:pt idx="2">
                    <c:v>Q3</c:v>
                  </c:pt>
                  <c:pt idx="3">
                    <c:v>Q4</c:v>
                  </c:pt>
                  <c:pt idx="4">
                    <c:v>Q1</c:v>
                  </c:pt>
                  <c:pt idx="5">
                    <c:v>Q2</c:v>
                  </c:pt>
                  <c:pt idx="6">
                    <c:v>Q3</c:v>
                  </c:pt>
                  <c:pt idx="7">
                    <c:v>Q4</c:v>
                  </c:pt>
                  <c:pt idx="8">
                    <c:v>Q1</c:v>
                  </c:pt>
                  <c:pt idx="9">
                    <c:v>Q2</c:v>
                  </c:pt>
                  <c:pt idx="10">
                    <c:v>Q3</c:v>
                  </c:pt>
                  <c:pt idx="11">
                    <c:v>Q4</c:v>
                  </c:pt>
                  <c:pt idx="12">
                    <c:v>Q1</c:v>
                  </c:pt>
                  <c:pt idx="13">
                    <c:v>Q2</c:v>
                  </c:pt>
                  <c:pt idx="14">
                    <c:v>Q3</c:v>
                  </c:pt>
                  <c:pt idx="15">
                    <c:v>Q4</c:v>
                  </c:pt>
                  <c:pt idx="16">
                    <c:v>Q1</c:v>
                  </c:pt>
                  <c:pt idx="17">
                    <c:v>Q2</c:v>
                  </c:pt>
                  <c:pt idx="18">
                    <c:v>Q3</c:v>
                  </c:pt>
                  <c:pt idx="19">
                    <c:v>Q4</c:v>
                  </c:pt>
                  <c:pt idx="20">
                    <c:v>Q1</c:v>
                  </c:pt>
                </c:lvl>
                <c:lvl>
                  <c:pt idx="0">
                    <c:v>2020</c:v>
                  </c:pt>
                  <c:pt idx="4">
                    <c:v>2021</c:v>
                  </c:pt>
                  <c:pt idx="8">
                    <c:v>2022</c:v>
                  </c:pt>
                  <c:pt idx="12">
                    <c:v>2023</c:v>
                  </c:pt>
                  <c:pt idx="16">
                    <c:v>2024</c:v>
                  </c:pt>
                  <c:pt idx="20">
                    <c:v>2025</c:v>
                  </c:pt>
                </c:lvl>
              </c:multiLvlStrCache>
            </c:multiLvlStrRef>
          </c:cat>
          <c:val>
            <c:numRef>
              <c:f>'Tasso di Positività Reale'!$B$2:$B$28</c:f>
              <c:numCache>
                <c:formatCode>0%</c:formatCode>
                <c:ptCount val="21"/>
                <c:pt idx="0">
                  <c:v>0.20544629574808368</c:v>
                </c:pt>
                <c:pt idx="1">
                  <c:v>2.6546613586761806E-2</c:v>
                </c:pt>
                <c:pt idx="2">
                  <c:v>1.2760622253683481E-2</c:v>
                </c:pt>
                <c:pt idx="3">
                  <c:v>0.11839847077618341</c:v>
                </c:pt>
                <c:pt idx="4">
                  <c:v>6.2874163215312542E-2</c:v>
                </c:pt>
                <c:pt idx="5">
                  <c:v>3.0386598055551502E-2</c:v>
                </c:pt>
                <c:pt idx="6">
                  <c:v>1.9772310389013309E-2</c:v>
                </c:pt>
                <c:pt idx="7">
                  <c:v>3.2803456301105656E-2</c:v>
                </c:pt>
                <c:pt idx="8">
                  <c:v>0.14051112424472662</c:v>
                </c:pt>
                <c:pt idx="9">
                  <c:v>0.15085786123215739</c:v>
                </c:pt>
                <c:pt idx="10">
                  <c:v>0.19661139868878061</c:v>
                </c:pt>
                <c:pt idx="11">
                  <c:v>0.17010304456970013</c:v>
                </c:pt>
                <c:pt idx="12">
                  <c:v>6.8198540082731046E-2</c:v>
                </c:pt>
                <c:pt idx="13">
                  <c:v>5.5710996021950808E-2</c:v>
                </c:pt>
                <c:pt idx="14">
                  <c:v>9.5154452125582781E-2</c:v>
                </c:pt>
                <c:pt idx="15">
                  <c:v>0.16740135382040325</c:v>
                </c:pt>
                <c:pt idx="16">
                  <c:v>3.1555838003350857E-2</c:v>
                </c:pt>
                <c:pt idx="17">
                  <c:v>1.3708006322307984E-2</c:v>
                </c:pt>
                <c:pt idx="18">
                  <c:v>0.14038039590612705</c:v>
                </c:pt>
                <c:pt idx="19">
                  <c:v>6.8632018399871542E-2</c:v>
                </c:pt>
                <c:pt idx="20">
                  <c:v>3.7096966091612137E-2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389-4DC3-B350-ED1EC5D8A71A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555891887"/>
        <c:axId val="555899087"/>
      </c:lineChart>
      <c:catAx>
        <c:axId val="55589188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it-IT"/>
          </a:p>
        </c:txPr>
        <c:crossAx val="555899087"/>
        <c:crosses val="autoZero"/>
        <c:auto val="1"/>
        <c:lblAlgn val="ctr"/>
        <c:lblOffset val="100"/>
        <c:noMultiLvlLbl val="0"/>
      </c:catAx>
      <c:valAx>
        <c:axId val="555899087"/>
        <c:scaling>
          <c:orientation val="minMax"/>
        </c:scaling>
        <c:delete val="1"/>
        <c:axPos val="l"/>
        <c:majorGridlines>
          <c:spPr>
            <a:ln>
              <a:solidFill>
                <a:schemeClr val="dk1">
                  <a:lumMod val="15000"/>
                  <a:lumOff val="85000"/>
                </a:schemeClr>
              </a:solidFill>
            </a:ln>
            <a:effectLst/>
          </c:spPr>
        </c:majorGridlines>
        <c:numFmt formatCode="0%" sourceLinked="1"/>
        <c:majorTickMark val="none"/>
        <c:minorTickMark val="none"/>
        <c:tickLblPos val="nextTo"/>
        <c:crossAx val="55589188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lt1"/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it-IT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4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34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34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1000" kern="1200"/>
  </cs:categoryAxis>
  <cs:chartArea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cs:styleClr val="auto"/>
    </cs:fontRef>
    <cs:spPr/>
    <cs:defRPr sz="900" b="1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 w="9575">
        <a:solidFill>
          <a:schemeClr val="lt1">
            <a:lumMod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19050" cap="rnd" cmpd="sng" algn="ctr">
        <a:solidFill>
          <a:schemeClr val="phClr">
            <a:shade val="95000"/>
            <a:satMod val="105000"/>
          </a:schemeClr>
        </a:solidFill>
        <a:round/>
      </a:ln>
    </cs:spPr>
  </cs:dataPointLine>
  <cs:dataPointMarker>
    <cs:lnRef idx="0"/>
    <cs:fillRef idx="0"/>
    <cs:effectRef idx="0"/>
    <cs:fontRef idx="minor">
      <a:schemeClr val="dk1"/>
    </cs:fontRef>
    <cs:spPr>
      <a:solidFill>
        <a:schemeClr val="lt1"/>
      </a:solidFill>
    </cs:spPr>
  </cs:dataPointMarker>
  <cs:dataPointMarkerLayout symbol="circle" size="17"/>
  <cs:dataPointWireframe>
    <cs:lnRef idx="0">
      <cs:styleClr val="auto"/>
    </cs:lnRef>
    <cs:fillRef idx="1"/>
    <cs:effectRef idx="0"/>
    <cs:fontRef idx="minor">
      <a:schemeClr val="dk1"/>
    </cs:fontRef>
    <cs:spPr>
      <a:ln w="9525">
        <a:solidFill>
          <a:schemeClr val="phClr"/>
        </a:solidFill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>
        <a:solidFill>
          <a:schemeClr val="dk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dk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dk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dk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seriesLine>
  <cs:title>
    <cs:lnRef idx="0"/>
    <cs:fillRef idx="0"/>
    <cs:effectRef idx="0"/>
    <cs:fontRef idx="minor">
      <a:schemeClr val="dk1"/>
    </cs:fontRef>
    <cs:defRPr sz="1440" b="0" kern="1200" cap="all" spc="0" baseline="0">
      <a:gradFill>
        <a:gsLst>
          <a:gs pos="0">
            <a:schemeClr val="dk1">
              <a:lumMod val="50000"/>
              <a:lumOff val="50000"/>
            </a:schemeClr>
          </a:gs>
          <a:gs pos="100000">
            <a:schemeClr val="dk1">
              <a:lumMod val="85000"/>
              <a:lumOff val="15000"/>
            </a:schemeClr>
          </a:gs>
        </a:gsLst>
        <a:lin ang="5400000" scaled="0"/>
      </a:gradFill>
    </cs:defRPr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B838749F0964BB48F176E12C6866A8D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76A59116-A8BC-4DA2-B4C2-2A2B929542B8}"/>
      </w:docPartPr>
      <w:docPartBody>
        <w:p w:rsidR="00000000" w:rsidRDefault="00C35B7C" w:rsidP="00C35B7C">
          <w:pPr>
            <w:pStyle w:val="8B838749F0964BB48F176E12C6866A8D"/>
          </w:pPr>
          <w:r>
            <w:rPr>
              <w:color w:val="156082" w:themeColor="accent1"/>
              <w:sz w:val="20"/>
              <w:szCs w:val="20"/>
            </w:rPr>
            <w:t>[Titolo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B7C"/>
    <w:rsid w:val="004F4448"/>
    <w:rsid w:val="00C35B7C"/>
    <w:rsid w:val="00DB2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32AA57F3F594D8A94536568196D81DD">
    <w:name w:val="932AA57F3F594D8A94536568196D81DD"/>
    <w:rsid w:val="00C35B7C"/>
  </w:style>
  <w:style w:type="paragraph" w:customStyle="1" w:styleId="8B838749F0964BB48F176E12C6866A8D">
    <w:name w:val="8B838749F0964BB48F176E12C6866A8D"/>
    <w:rsid w:val="00C35B7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A059-DE3B-45CB-84B0-686076D163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698</TotalTime>
  <Pages>7</Pages>
  <Words>1452</Words>
  <Characters>9036</Characters>
  <Application>Microsoft Office Word</Application>
  <DocSecurity>0</DocSecurity>
  <Lines>162</Lines>
  <Paragraphs>82</Paragraphs>
  <ScaleCrop>false</ScaleCrop>
  <Company/>
  <LinksUpToDate>false</LinksUpToDate>
  <CharactersWithSpaces>10448</CharactersWithSpaces>
  <SharedDoc>false</SharedDoc>
  <HLinks>
    <vt:vector size="12" baseType="variant">
      <vt:variant>
        <vt:i4>6619232</vt:i4>
      </vt:variant>
      <vt:variant>
        <vt:i4>3</vt:i4>
      </vt:variant>
      <vt:variant>
        <vt:i4>0</vt:i4>
      </vt:variant>
      <vt:variant>
        <vt:i4>5</vt:i4>
      </vt:variant>
      <vt:variant>
        <vt:lpwstr>https://github.com/pcm-dpc/COVID-19/tree/master</vt:lpwstr>
      </vt:variant>
      <vt:variant>
        <vt:lpwstr/>
      </vt:variant>
      <vt:variant>
        <vt:i4>4390989</vt:i4>
      </vt:variant>
      <vt:variant>
        <vt:i4>0</vt:i4>
      </vt:variant>
      <vt:variant>
        <vt:i4>0</vt:i4>
      </vt:variant>
      <vt:variant>
        <vt:i4>5</vt:i4>
      </vt:variant>
      <vt:variant>
        <vt:lpwstr>https://github.com/italia/covid19-opendata-vaccini/tree/master?tab=readme-ov-file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1</dc:title>
  <dc:subject/>
  <dc:creator>Alessandro Saladino</dc:creator>
  <cp:keywords/>
  <dc:description/>
  <cp:lastModifiedBy>Alexandra Oancea</cp:lastModifiedBy>
  <cp:revision>194</cp:revision>
  <dcterms:created xsi:type="dcterms:W3CDTF">2026-03-13T02:14:00Z</dcterms:created>
  <dcterms:modified xsi:type="dcterms:W3CDTF">2026-03-20T22:12:00Z</dcterms:modified>
</cp:coreProperties>
</file>