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sz w:val="24"/>
          <w:szCs w:val="24"/>
        </w:rPr>
        <w:id w:val="-43602573"/>
        <w:docPartObj>
          <w:docPartGallery w:val="Bibliographies"/>
          <w:docPartUnique/>
        </w:docPartObj>
      </w:sdtPr>
      <w:sdtEndPr>
        <w:rPr>
          <w:rFonts w:eastAsiaTheme="minorHAnsi"/>
          <w:color w:val="auto"/>
        </w:rPr>
      </w:sdtEndPr>
      <w:sdtContent>
        <w:p w14:paraId="67D80B67" w14:textId="7A87B5F3" w:rsidR="0092318C" w:rsidRPr="0092318C" w:rsidRDefault="0092318C" w:rsidP="0092318C">
          <w:pPr>
            <w:pStyle w:val="Heading1"/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92318C">
            <w:rPr>
              <w:rFonts w:ascii="Times New Roman" w:hAnsi="Times New Roman" w:cs="Times New Roman"/>
              <w:sz w:val="32"/>
              <w:szCs w:val="32"/>
            </w:rPr>
            <w:t>Bibliografie</w:t>
          </w:r>
        </w:p>
        <w:sdt>
          <w:sdtPr>
            <w:rPr>
              <w:rFonts w:ascii="Times New Roman" w:hAnsi="Times New Roman" w:cs="Times New Roman"/>
            </w:rPr>
            <w:id w:val="111145805"/>
            <w:bibliography/>
          </w:sdtPr>
          <w:sdtContent>
            <w:p w14:paraId="6877B7D0" w14:textId="77777777" w:rsidR="0092318C" w:rsidRPr="0092318C" w:rsidRDefault="0092318C">
              <w:pPr>
                <w:rPr>
                  <w:rFonts w:ascii="Times New Roman" w:hAnsi="Times New Roman" w:cs="Times New Roman"/>
                  <w:noProof/>
                </w:rPr>
              </w:pPr>
              <w:r w:rsidRPr="0092318C">
                <w:rPr>
                  <w:rFonts w:ascii="Times New Roman" w:hAnsi="Times New Roman" w:cs="Times New Roman"/>
                </w:rPr>
                <w:fldChar w:fldCharType="begin"/>
              </w:r>
              <w:r w:rsidRPr="0092318C">
                <w:rPr>
                  <w:rFonts w:ascii="Times New Roman" w:hAnsi="Times New Roman" w:cs="Times New Roman"/>
                </w:rPr>
                <w:instrText xml:space="preserve"> BIBLIOGRAPHY </w:instrText>
              </w:r>
              <w:r w:rsidRPr="0092318C">
                <w:rPr>
                  <w:rFonts w:ascii="Times New Roman" w:hAnsi="Times New Roman" w:cs="Times New Roman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475"/>
                <w:gridCol w:w="8885"/>
              </w:tblGrid>
              <w:tr w:rsidR="0092318C" w:rsidRPr="0092318C" w14:paraId="18CCAB47" w14:textId="77777777">
                <w:trPr>
                  <w:divId w:val="69692632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7450755" w14:textId="4EA34415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kern w:val="0"/>
                        <w14:ligatures w14:val="none"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E374130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 xml:space="preserve">W. Witkowski, "Videogames are a bigger industry than movies and North American sports combined," </w:t>
                    </w:r>
                    <w:r w:rsidRPr="0092318C">
                      <w:rPr>
                        <w:rFonts w:ascii="Times New Roman" w:hAnsi="Times New Roman" w:cs="Times New Roman"/>
                        <w:i/>
                        <w:iCs/>
                        <w:noProof/>
                      </w:rPr>
                      <w:t xml:space="preserve">MarketWatch, </w:t>
                    </w: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 xml:space="preserve">2020. </w:t>
                    </w:r>
                  </w:p>
                </w:tc>
              </w:tr>
              <w:tr w:rsidR="0092318C" w:rsidRPr="0092318C" w14:paraId="4015852C" w14:textId="77777777">
                <w:trPr>
                  <w:divId w:val="69692632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ED3784A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1BAA340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>Windstar Games, "Unity Game Development Cost," 2025. [Online]. Available: https://windstargames.com.</w:t>
                    </w:r>
                  </w:p>
                </w:tc>
              </w:tr>
              <w:tr w:rsidR="0092318C" w:rsidRPr="0092318C" w14:paraId="1FF67D90" w14:textId="77777777">
                <w:trPr>
                  <w:divId w:val="69692632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4A2C84C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3EAC0E2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>Unity Technologies, "SpeedTree Pricing," 2024. [Online]. Available: https://support.unity.com/.</w:t>
                    </w:r>
                  </w:p>
                </w:tc>
              </w:tr>
              <w:tr w:rsidR="0092318C" w:rsidRPr="0092318C" w14:paraId="22B05A84" w14:textId="77777777">
                <w:trPr>
                  <w:divId w:val="69692632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E3BC086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555ABE5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>SideFX, "Houdini Indie," 6 2026. [Online]. Available: https://www.sidefx.com/products/houdini-indie/.</w:t>
                    </w:r>
                  </w:p>
                </w:tc>
              </w:tr>
              <w:tr w:rsidR="0092318C" w:rsidRPr="0092318C" w14:paraId="77A1DA5D" w14:textId="77777777">
                <w:trPr>
                  <w:divId w:val="69692632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28D4A20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1619519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 xml:space="preserve">N. Shaker, J. Togelius and M. J. Nelson, Procedural Content Generation in Games, Springer, 2016. </w:t>
                    </w:r>
                  </w:p>
                </w:tc>
              </w:tr>
              <w:tr w:rsidR="0092318C" w:rsidRPr="0092318C" w14:paraId="6730C4E0" w14:textId="77777777">
                <w:trPr>
                  <w:divId w:val="69692632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7430C69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23FDDE8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 xml:space="preserve">G. Sellers, R. S. Wright and N. Haemel, OpenGL SuperBible: Comprehensive Tutorial and Reference, Addison-Wesley, 2014. </w:t>
                    </w:r>
                  </w:p>
                </w:tc>
              </w:tr>
              <w:tr w:rsidR="0092318C" w:rsidRPr="0092318C" w14:paraId="217642D7" w14:textId="77777777">
                <w:trPr>
                  <w:divId w:val="69692632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4FDBD09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 xml:space="preserve">[7]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549F630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>F. Richter, "Global revenue of selected entertainment industry sectors," 22 9 2020. [Online]. Available: https://www.statista.com/chart/22392/global-revenue-of-selected-entertainment-industry-sectors/.</w:t>
                    </w:r>
                  </w:p>
                </w:tc>
              </w:tr>
              <w:tr w:rsidR="0092318C" w:rsidRPr="0092318C" w14:paraId="7D5509F7" w14:textId="77777777">
                <w:trPr>
                  <w:divId w:val="69692632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0EEFCCF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 xml:space="preserve">[8]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B656EB5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>QuadSpinner, "Gaea 2.0 — Compare Editions," 2024. [Online]. Available: https://quadspinner.com/compare.</w:t>
                    </w:r>
                  </w:p>
                </w:tc>
              </w:tr>
              <w:tr w:rsidR="0092318C" w:rsidRPr="0092318C" w14:paraId="35843AB4" w14:textId="77777777">
                <w:trPr>
                  <w:divId w:val="69692632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26C3E71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 xml:space="preserve">[9]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DA45CAD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 xml:space="preserve">M. Pichlmair and C. Putney, "Procedural Generation for Divination and Inspiration," in </w:t>
                    </w:r>
                    <w:r w:rsidRPr="0092318C">
                      <w:rPr>
                        <w:rFonts w:ascii="Times New Roman" w:hAnsi="Times New Roman" w:cs="Times New Roman"/>
                        <w:i/>
                        <w:iCs/>
                        <w:noProof/>
                      </w:rPr>
                      <w:t>Proceedings of the 15th International Conference on the Foundations of Digital Games</w:t>
                    </w: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 xml:space="preserve">, 2020. </w:t>
                    </w:r>
                  </w:p>
                </w:tc>
              </w:tr>
              <w:tr w:rsidR="0092318C" w:rsidRPr="0092318C" w14:paraId="11513EBD" w14:textId="77777777">
                <w:trPr>
                  <w:divId w:val="69692632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CCCEDC6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 xml:space="preserve">[10]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CCA8B5D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>MarketGrowthReports, "Game Development Tools Market," 2024. [Online]. Available: https://www.marketgrowthreports.com/market-reports/game-development-tools-market-102115.</w:t>
                    </w:r>
                  </w:p>
                </w:tc>
              </w:tr>
              <w:tr w:rsidR="0092318C" w:rsidRPr="0092318C" w14:paraId="56074C09" w14:textId="77777777">
                <w:trPr>
                  <w:divId w:val="69692632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4E084DD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 xml:space="preserve">[11]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45618EE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>C. Kerr, "Terraria developer Re-Logic condemns Unity, donates $100K to Godot and FNA," 20 9 2023. [Online]. Available: https://www.gamedeveloper.com/business/terraria-developer-re-logic-condemns-unity-donates-100k-to-godot-and-fna.</w:t>
                    </w:r>
                  </w:p>
                </w:tc>
              </w:tr>
              <w:tr w:rsidR="0092318C" w:rsidRPr="0092318C" w14:paraId="2F7E5BC3" w14:textId="77777777">
                <w:trPr>
                  <w:divId w:val="69692632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0FCCC7C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 xml:space="preserve">[12]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D3D9B5F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 xml:space="preserve">J. Gregory, Game Engine Architecture, 3rd ed., CRC Press, 2018. </w:t>
                    </w:r>
                  </w:p>
                </w:tc>
              </w:tr>
              <w:tr w:rsidR="0092318C" w:rsidRPr="0092318C" w14:paraId="1DD96C68" w14:textId="77777777">
                <w:trPr>
                  <w:divId w:val="69692632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D930FEC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lastRenderedPageBreak/>
                      <w:t xml:space="preserve">[13]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DD6A089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 xml:space="preserve">D. Gravina, A. Khalifa, A. Liapis, J. Togelius and G. N. Yannakakis, "Procedural content generation through quality diversity," </w:t>
                    </w:r>
                    <w:r w:rsidRPr="0092318C">
                      <w:rPr>
                        <w:rFonts w:ascii="Times New Roman" w:hAnsi="Times New Roman" w:cs="Times New Roman"/>
                        <w:i/>
                        <w:iCs/>
                        <w:noProof/>
                      </w:rPr>
                      <w:t xml:space="preserve">IEEE Transactions on Games, </w:t>
                    </w: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 xml:space="preserve">vol. 11, no. 4, pp. 344-356, 2019. </w:t>
                    </w:r>
                  </w:p>
                </w:tc>
              </w:tr>
              <w:tr w:rsidR="0092318C" w:rsidRPr="0092318C" w14:paraId="56E5FA43" w14:textId="77777777">
                <w:trPr>
                  <w:divId w:val="69692632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92093F2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 xml:space="preserve">[14]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1D86D4D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>Godot Foundation, "Annual Report 2023," 2024. [Online]. Available: https://godot.foundation/downloads/Godot-Foundation-Annual-Report-2023.pdf.</w:t>
                    </w:r>
                  </w:p>
                </w:tc>
              </w:tr>
              <w:tr w:rsidR="0092318C" w:rsidRPr="0092318C" w14:paraId="657B04C4" w14:textId="77777777">
                <w:trPr>
                  <w:divId w:val="69692632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FBECDA1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 xml:space="preserve">[15]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5E38BE7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>GitNux, "90+ Indie Game Industry Statistics," 2026. [Online]. Available: https://gitnux.org/indie-game-industry-statistics/.</w:t>
                    </w:r>
                  </w:p>
                </w:tc>
              </w:tr>
              <w:tr w:rsidR="0092318C" w:rsidRPr="0092318C" w14:paraId="4500334E" w14:textId="77777777">
                <w:trPr>
                  <w:divId w:val="69692632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B72C9F7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 xml:space="preserve">[16]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DBADEC0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>F. Gennari, "3DWorld Blog," 2014. [Online]. Available: https://3dworldgen.blogspot.com/.</w:t>
                    </w:r>
                  </w:p>
                </w:tc>
              </w:tr>
              <w:tr w:rsidR="0092318C" w:rsidRPr="0092318C" w14:paraId="30451E13" w14:textId="77777777">
                <w:trPr>
                  <w:divId w:val="69692632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3BD2315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 xml:space="preserve">[17]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9F7BE1B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 xml:space="preserve">C. Everitt and J. McDonald, "Approaching Zero Driver Overhead in OpenGL," in </w:t>
                    </w:r>
                    <w:r w:rsidRPr="0092318C">
                      <w:rPr>
                        <w:rFonts w:ascii="Times New Roman" w:hAnsi="Times New Roman" w:cs="Times New Roman"/>
                        <w:i/>
                        <w:iCs/>
                        <w:noProof/>
                      </w:rPr>
                      <w:t>Game Developers Conference (GDC)</w:t>
                    </w: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 xml:space="preserve">, 2014. </w:t>
                    </w:r>
                  </w:p>
                </w:tc>
              </w:tr>
              <w:tr w:rsidR="0092318C" w:rsidRPr="0092318C" w14:paraId="4D105E4E" w14:textId="77777777">
                <w:trPr>
                  <w:divId w:val="69692632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69F99F0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 xml:space="preserve">[18]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3E180A1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 xml:space="preserve">D. S. Ebert, F. K. Musgrave, D. Peachey, K. Perlin and S. Worley, Texturing and Modeling: A Procedural Approach, 3rd ed., Morgan Kaufmann, 2003. </w:t>
                    </w:r>
                  </w:p>
                </w:tc>
              </w:tr>
              <w:tr w:rsidR="0092318C" w:rsidRPr="0092318C" w14:paraId="28D01368" w14:textId="77777777">
                <w:trPr>
                  <w:divId w:val="69692632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7FEAA8F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 xml:space="preserve">[19]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FE1E9B8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 xml:space="preserve">C. Dring, "AAA game budgets can reach $300m, says CMA report," </w:t>
                    </w:r>
                    <w:r w:rsidRPr="0092318C">
                      <w:rPr>
                        <w:rFonts w:ascii="Times New Roman" w:hAnsi="Times New Roman" w:cs="Times New Roman"/>
                        <w:i/>
                        <w:iCs/>
                        <w:noProof/>
                      </w:rPr>
                      <w:t xml:space="preserve">GamesIndustry.biz, </w:t>
                    </w: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 xml:space="preserve">2023. </w:t>
                    </w:r>
                  </w:p>
                </w:tc>
              </w:tr>
              <w:tr w:rsidR="0092318C" w:rsidRPr="0092318C" w14:paraId="432680AF" w14:textId="77777777">
                <w:trPr>
                  <w:divId w:val="69692632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1855545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 xml:space="preserve">[20]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32525C4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>H. T. Beyer, "Implementation of a method for hydraulic erosion," 2015.</w:t>
                    </w:r>
                  </w:p>
                </w:tc>
              </w:tr>
              <w:tr w:rsidR="0092318C" w:rsidRPr="0092318C" w14:paraId="6CBDAE2F" w14:textId="77777777">
                <w:trPr>
                  <w:divId w:val="69692632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723810F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 xml:space="preserve">[21]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81AF1DE" w14:textId="77777777" w:rsidR="0092318C" w:rsidRPr="0092318C" w:rsidRDefault="0092318C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 xml:space="preserve">S. Aaltonen and U. Haar, "GPU-Driven Rendering Pipelines," in </w:t>
                    </w:r>
                    <w:r w:rsidRPr="0092318C">
                      <w:rPr>
                        <w:rFonts w:ascii="Times New Roman" w:hAnsi="Times New Roman" w:cs="Times New Roman"/>
                        <w:i/>
                        <w:iCs/>
                        <w:noProof/>
                      </w:rPr>
                      <w:t>Advances in Real-Time Rendering in Games (SIGGRAPH 2015)</w:t>
                    </w:r>
                    <w:r w:rsidRPr="0092318C">
                      <w:rPr>
                        <w:rFonts w:ascii="Times New Roman" w:hAnsi="Times New Roman" w:cs="Times New Roman"/>
                        <w:noProof/>
                      </w:rPr>
                      <w:t xml:space="preserve">, 2015. </w:t>
                    </w:r>
                  </w:p>
                </w:tc>
              </w:tr>
            </w:tbl>
            <w:p w14:paraId="43D0276D" w14:textId="77777777" w:rsidR="0092318C" w:rsidRPr="0092318C" w:rsidRDefault="0092318C">
              <w:pPr>
                <w:divId w:val="696926322"/>
                <w:rPr>
                  <w:rFonts w:ascii="Times New Roman" w:eastAsia="Times New Roman" w:hAnsi="Times New Roman" w:cs="Times New Roman"/>
                  <w:noProof/>
                </w:rPr>
              </w:pPr>
            </w:p>
            <w:p w14:paraId="663A5D03" w14:textId="75CC0BC0" w:rsidR="0092318C" w:rsidRPr="0092318C" w:rsidRDefault="0092318C">
              <w:pPr>
                <w:rPr>
                  <w:rFonts w:ascii="Times New Roman" w:hAnsi="Times New Roman" w:cs="Times New Roman"/>
                </w:rPr>
              </w:pPr>
              <w:r w:rsidRPr="0092318C">
                <w:rPr>
                  <w:rFonts w:ascii="Times New Roman" w:hAnsi="Times New Roman" w:cs="Times New Roman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776C687F" w14:textId="77777777" w:rsidR="00CC4BD0" w:rsidRPr="0092318C" w:rsidRDefault="00CC4BD0">
      <w:pPr>
        <w:rPr>
          <w:rFonts w:ascii="Times New Roman" w:hAnsi="Times New Roman" w:cs="Times New Roman"/>
        </w:rPr>
      </w:pPr>
    </w:p>
    <w:sectPr w:rsidR="00CC4BD0" w:rsidRPr="00923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B36"/>
    <w:rsid w:val="00656CA0"/>
    <w:rsid w:val="006D4FC1"/>
    <w:rsid w:val="0092318C"/>
    <w:rsid w:val="00C36784"/>
    <w:rsid w:val="00CB15A3"/>
    <w:rsid w:val="00CC4BD0"/>
    <w:rsid w:val="00D47561"/>
    <w:rsid w:val="00F11B36"/>
    <w:rsid w:val="00F73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D6BDB"/>
  <w15:chartTrackingRefBased/>
  <w15:docId w15:val="{BC2A3E01-0AD5-4D54-B460-A4A96B02A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B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B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B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B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B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B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B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B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B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B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B36"/>
    <w:rPr>
      <w:b/>
      <w:bCs/>
      <w:smallCaps/>
      <w:color w:val="2F5496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9231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9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Wit20</b:Tag>
    <b:SourceType>ArticleInAPeriodical</b:SourceType>
    <b:Guid>{E02F5A67-33D7-4CC9-B86C-46DA6D2C87A5}</b:Guid>
    <b:Author>
      <b:Author>
        <b:NameList>
          <b:Person>
            <b:Last>Witkowski</b:Last>
            <b:First>W.</b:First>
          </b:Person>
        </b:NameList>
      </b:Author>
    </b:Author>
    <b:Title>Videogames are a bigger industry than movies and North American sports combined</b:Title>
    <b:PeriodicalTitle>MarketWatch</b:PeriodicalTitle>
    <b:Year>2020</b:Year>
    <b:RefOrder>1</b:RefOrder>
  </b:Source>
  <b:Source>
    <b:Tag>Win25</b:Tag>
    <b:SourceType>DocumentFromInternetSite</b:SourceType>
    <b:Guid>{B1A56C42-F02A-4C26-A4C1-4A59CE07B7D9}</b:Guid>
    <b:Author>
      <b:Author>
        <b:NameList>
          <b:Person>
            <b:Last>Windstar Games</b:Last>
          </b:Person>
        </b:NameList>
      </b:Author>
    </b:Author>
    <b:Title>Unity Game Development Cost</b:Title>
    <b:Year>2025</b:Year>
    <b:URL>https://windstargames.com</b:URL>
    <b:RefOrder>2</b:RefOrder>
  </b:Source>
  <b:Source>
    <b:Tag>Uni24</b:Tag>
    <b:SourceType>DocumentFromInternetSite</b:SourceType>
    <b:Guid>{B1A56C42-F02A-4C26-A4C1-4A59CE07B7D7}</b:Guid>
    <b:Author>
      <b:Author>
        <b:NameList>
          <b:Person>
            <b:Last>Unity Technologies</b:Last>
          </b:Person>
        </b:NameList>
      </b:Author>
    </b:Author>
    <b:Title>SpeedTree Pricing</b:Title>
    <b:InternetSiteTitle>Unity Support</b:InternetSiteTitle>
    <b:Year>2024</b:Year>
    <b:URL>https://support.unity.com/</b:URL>
    <b:RefOrder>3</b:RefOrder>
  </b:Source>
  <b:Source>
    <b:Tag>Sid26</b:Tag>
    <b:SourceType>DocumentFromInternetSite</b:SourceType>
    <b:Guid>{B1A56C42-F02A-4C26-A4C1-4A59CE07B7D6}</b:Guid>
    <b:Author>
      <b:Author>
        <b:NameList>
          <b:Person>
            <b:Last>SideFX</b:Last>
          </b:Person>
        </b:NameList>
      </b:Author>
    </b:Author>
    <b:Title>Houdini Indie</b:Title>
    <b:Year>2026</b:Year>
    <b:Month>6</b:Month>
    <b:URL>https://www.sidefx.com/products/houdini-indie/</b:URL>
    <b:RefOrder>4</b:RefOrder>
  </b:Source>
  <b:Source>
    <b:Tag>Sha16</b:Tag>
    <b:SourceType>Book</b:SourceType>
    <b:Guid>{D023AE58-FA9D-4FDF-A5E5-7B03D515B21E}</b:Guid>
    <b:Author>
      <b:Author>
        <b:NameList>
          <b:Person>
            <b:Last>Shaker</b:Last>
            <b:First>N.</b:First>
          </b:Person>
          <b:Person>
            <b:Last>Togelius</b:Last>
            <b:First>J.</b:First>
          </b:Person>
          <b:Person>
            <b:Last>Nelson</b:Last>
            <b:First>M. J.</b:First>
          </b:Person>
        </b:NameList>
      </b:Author>
    </b:Author>
    <b:Title>Procedural Content Generation in Games</b:Title>
    <b:Year>2016</b:Year>
    <b:Publisher>Springer</b:Publisher>
    <b:RefOrder>5</b:RefOrder>
  </b:Source>
  <b:Source>
    <b:Tag>Sel14</b:Tag>
    <b:SourceType>Book</b:SourceType>
    <b:Guid>{F034C7A1-BA5F-4D23-9EC6-86A5E815D8A4}</b:Guid>
    <b:Author>
      <b:Author>
        <b:NameList>
          <b:Person>
            <b:Last>Sellers</b:Last>
            <b:First>G.</b:First>
          </b:Person>
          <b:Person>
            <b:Last>Wright</b:Last>
            <b:First>R. S.</b:First>
          </b:Person>
          <b:Person>
            <b:Last>Haemel</b:Last>
            <b:First>N.</b:First>
          </b:Person>
        </b:NameList>
      </b:Author>
    </b:Author>
    <b:Title>OpenGL SuperBible: Comprehensive Tutorial and Reference</b:Title>
    <b:Year>2014</b:Year>
    <b:Publisher>Addison-Wesley</b:Publisher>
    <b:RefOrder>6</b:RefOrder>
  </b:Source>
  <b:Source>
    <b:Tag>Ric20</b:Tag>
    <b:SourceType>DocumentFromInternetSite</b:SourceType>
    <b:Guid>{B0F3A229-C53E-4B0D-8FE9-B94EC926B6EE}</b:Guid>
    <b:Author>
      <b:Author>
        <b:NameList>
          <b:Person>
            <b:Last>Richter</b:Last>
            <b:First>Felix</b:First>
          </b:Person>
        </b:NameList>
      </b:Author>
    </b:Author>
    <b:Title>Global revenue of selected entertainment industry sectors</b:Title>
    <b:InternetSiteTitle>Statista</b:InternetSiteTitle>
    <b:Year>2020</b:Year>
    <b:Month>9</b:Month>
    <b:Day>22</b:Day>
    <b:URL>https://www.statista.com/chart/22392/global-revenue-of-selected-entertainment-industry-sectors/</b:URL>
    <b:RefOrder>7</b:RefOrder>
  </b:Source>
  <b:Source>
    <b:Tag>Qua24</b:Tag>
    <b:SourceType>DocumentFromInternetSite</b:SourceType>
    <b:Guid>{B1A56C42-F02A-4C26-A4C1-4A59CE07B7D8}</b:Guid>
    <b:Author>
      <b:Author>
        <b:NameList>
          <b:Person>
            <b:Last>QuadSpinner</b:Last>
          </b:Person>
        </b:NameList>
      </b:Author>
    </b:Author>
    <b:Title>Gaea 2.0 — Compare Editions</b:Title>
    <b:Year>2024</b:Year>
    <b:URL>https://quadspinner.com/compare</b:URL>
    <b:RefOrder>8</b:RefOrder>
  </b:Source>
  <b:Source>
    <b:Tag>Pic20</b:Tag>
    <b:SourceType>ConferenceProceedings</b:SourceType>
    <b:Guid>{B1A56C42-F02A-4C26-A4C1-4A59CE07B7A4}</b:Guid>
    <b:Author>
      <b:Author>
        <b:NameList>
          <b:Person>
            <b:Last>Pichlmair</b:Last>
            <b:First>Martin</b:First>
          </b:Person>
          <b:Person>
            <b:Last>Putney</b:Last>
            <b:First>Charlene</b:First>
          </b:Person>
        </b:NameList>
      </b:Author>
    </b:Author>
    <b:Title>Procedural Generation for Divination and Inspiration</b:Title>
    <b:ConferenceName>Proceedings of the 15th International Conference on the Foundations of Digital Games</b:ConferenceName>
    <b:Year>2020</b:Year>
    <b:Pages>1-7</b:Pages>
    <b:RefOrder>9</b:RefOrder>
  </b:Source>
  <b:Source>
    <b:Tag>Mar24</b:Tag>
    <b:SourceType>DocumentFromInternetSite</b:SourceType>
    <b:Guid>{B1A56C42-F02A-4C26-A4C1-4A59CE07B7D3}</b:Guid>
    <b:Author>
      <b:Author>
        <b:NameList>
          <b:Person>
            <b:Last>MarketGrowthReports</b:Last>
          </b:Person>
        </b:NameList>
      </b:Author>
    </b:Author>
    <b:Title>Game Development Tools Market</b:Title>
    <b:Year>2024</b:Year>
    <b:URL>https://www.marketgrowthreports.com/market-reports/game-development-tools-market-102115</b:URL>
    <b:RefOrder>10</b:RefOrder>
  </b:Source>
  <b:Source>
    <b:Tag>Ker23</b:Tag>
    <b:SourceType>DocumentFromInternetSite</b:SourceType>
    <b:Guid>{B1A56C42-F02A-4C26-A4C1-4A59CE07B7D5}</b:Guid>
    <b:Author>
      <b:Author>
        <b:NameList>
          <b:Person>
            <b:Last>Kerr</b:Last>
            <b:First>Chris</b:First>
          </b:Person>
        </b:NameList>
      </b:Author>
    </b:Author>
    <b:Title>Terraria developer Re-Logic condemns Unity, donates $100K to Godot and FNA</b:Title>
    <b:InternetSiteTitle>Game Developer</b:InternetSiteTitle>
    <b:Year>2023</b:Year>
    <b:Month>9</b:Month>
    <b:Day>20</b:Day>
    <b:URL>https://www.gamedeveloper.com/business/terraria-developer-re-logic-condemns-unity-donates-100k-to-godot-and-fna</b:URL>
    <b:RefOrder>11</b:RefOrder>
  </b:Source>
  <b:Source>
    <b:Tag>Gre18</b:Tag>
    <b:SourceType>Book</b:SourceType>
    <b:Guid>{B1A56C42-F02A-4C26-A4C1-4A59CE07B7B8}</b:Guid>
    <b:Author>
      <b:Author>
        <b:NameList>
          <b:Person>
            <b:Last>Gregory</b:Last>
            <b:First>J.</b:First>
          </b:Person>
        </b:NameList>
      </b:Author>
    </b:Author>
    <b:Title>Game Engine Architecture</b:Title>
    <b:Year>2018</b:Year>
    <b:Edition>3rd</b:Edition>
    <b:Publisher>CRC Press</b:Publisher>
    <b:RefOrder>12</b:RefOrder>
  </b:Source>
  <b:Source>
    <b:Tag>Gra19</b:Tag>
    <b:SourceType>JournalArticle</b:SourceType>
    <b:Guid>{A054C7B1-BA5F-4D23-9EC6-86A5E815D8A5}</b:Guid>
    <b:Author>
      <b:Author>
        <b:NameList>
          <b:Person>
            <b:Last>Gravina</b:Last>
            <b:First>D.</b:First>
          </b:Person>
          <b:Person>
            <b:Last>Khalifa</b:Last>
            <b:First>A.</b:First>
          </b:Person>
          <b:Person>
            <b:Last>Liapis</b:Last>
            <b:First>A.</b:First>
          </b:Person>
          <b:Person>
            <b:Last>Togelius</b:Last>
            <b:First>J.</b:First>
          </b:Person>
          <b:Person>
            <b:Last>Yannakakis</b:Last>
            <b:First>G. N.</b:First>
          </b:Person>
        </b:NameList>
      </b:Author>
    </b:Author>
    <b:Title>Procedural content generation through quality diversity</b:Title>
    <b:JournalName>IEEE Transactions on Games</b:JournalName>
    <b:Year>2019</b:Year>
    <b:Volume>11</b:Volume>
    <b:Issue>4</b:Issue>
    <b:Pages>344-356</b:Pages>
    <b:RefOrder>13</b:RefOrder>
  </b:Source>
  <b:Source>
    <b:Tag>God24</b:Tag>
    <b:SourceType>DocumentFromInternetSite</b:SourceType>
    <b:Guid>{B1A56C42-F02A-4C26-A4C1-4A59CE07B7D2}</b:Guid>
    <b:Author>
      <b:Author>
        <b:NameList>
          <b:Person>
            <b:Last>Godot Foundation</b:Last>
          </b:Person>
        </b:NameList>
      </b:Author>
    </b:Author>
    <b:Title>Annual Report 2023</b:Title>
    <b:InternetSiteTitle>Godot Foundation</b:InternetSiteTitle>
    <b:Year>2024</b:Year>
    <b:URL>https://godot.foundation/downloads/Godot-Foundation-Annual-Report-2023.pdf</b:URL>
    <b:RefOrder>14</b:RefOrder>
  </b:Source>
  <b:Source>
    <b:Tag>Git26</b:Tag>
    <b:SourceType>DocumentFromInternetSite</b:SourceType>
    <b:Guid>{B1A56C42-F02A-4C26-A4C1-4A59CE07B7D4}</b:Guid>
    <b:Author>
      <b:Author>
        <b:NameList>
          <b:Person>
            <b:Last>GitNux</b:Last>
          </b:Person>
        </b:NameList>
      </b:Author>
    </b:Author>
    <b:Title>90+ Indie Game Industry Statistics</b:Title>
    <b:Year>2026</b:Year>
    <b:URL>https://gitnux.org/indie-game-industry-statistics/</b:URL>
    <b:RefOrder>15</b:RefOrder>
  </b:Source>
  <b:Source>
    <b:Tag>Gen14</b:Tag>
    <b:SourceType>DocumentFromInternetSite</b:SourceType>
    <b:Guid>{B1A56C42-F02A-4C26-A4C1-4A59CE07B7D1}</b:Guid>
    <b:Author>
      <b:Author>
        <b:NameList>
          <b:Person>
            <b:Last>Gennari</b:Last>
            <b:First>Frank</b:First>
          </b:Person>
        </b:NameList>
      </b:Author>
    </b:Author>
    <b:Title>3DWorld Blog</b:Title>
    <b:InternetSiteTitle>3DWorld Generation Development Log</b:InternetSiteTitle>
    <b:Year>2014</b:Year>
    <b:URL>https://3dworldgen.blogspot.com/</b:URL>
    <b:RefOrder>16</b:RefOrder>
  </b:Source>
  <b:Source>
    <b:Tag>Eve14</b:Tag>
    <b:SourceType>ConferenceProceedings</b:SourceType>
    <b:Guid>{B1A56C42-F02A-4C26-A4C1-4A59CE07B7E1}</b:Guid>
    <b:Author>
      <b:Author>
        <b:NameList>
          <b:Person>
            <b:Last>Everitt</b:Last>
            <b:First>C.</b:First>
          </b:Person>
          <b:Person>
            <b:Last>McDonald</b:Last>
            <b:First>J.</b:First>
          </b:Person>
        </b:NameList>
      </b:Author>
    </b:Author>
    <b:Title>Approaching Zero Driver Overhead in OpenGL</b:Title>
    <b:ConferenceName>Game Developers Conference (GDC)</b:ConferenceName>
    <b:Year>2014</b:Year>
    <b:RefOrder>17</b:RefOrder>
  </b:Source>
  <b:Source>
    <b:Tag>Ebe03</b:Tag>
    <b:SourceType>Book</b:SourceType>
    <b:Guid>{A054C7B1-BA5F-4D23-9EC6-86A5E815D8A6}</b:Guid>
    <b:Author>
      <b:Author>
        <b:NameList>
          <b:Person>
            <b:Last>Ebert</b:Last>
            <b:First>D. S.</b:First>
          </b:Person>
          <b:Person>
            <b:Last>Musgrave</b:Last>
            <b:First>F. K.</b:First>
          </b:Person>
          <b:Person>
            <b:Last>Peachey</b:Last>
            <b:First>D.</b:First>
          </b:Person>
          <b:Person>
            <b:Last>Perlin</b:Last>
            <b:First>K.</b:First>
          </b:Person>
          <b:Person>
            <b:Last>Worley</b:Last>
            <b:First>S.</b:First>
          </b:Person>
        </b:NameList>
      </b:Author>
    </b:Author>
    <b:Title>Texturing and Modeling: A Procedural Approach</b:Title>
    <b:Year>2003</b:Year>
    <b:Edition>3rd</b:Edition>
    <b:Publisher>Morgan Kaufmann</b:Publisher>
    <b:RefOrder>18</b:RefOrder>
  </b:Source>
  <b:Source>
    <b:Tag>Dri23</b:Tag>
    <b:SourceType>ArticleInAPeriodical</b:SourceType>
    <b:Guid>{C0D2F4B3-D6AC-4F48-A537-8EA4D481C7E9}</b:Guid>
    <b:Author>
      <b:Author>
        <b:NameList>
          <b:Person>
            <b:Last>Dring</b:Last>
            <b:First>C.</b:First>
          </b:Person>
        </b:NameList>
      </b:Author>
    </b:Author>
    <b:Title>AAA game budgets can reach $300m, says CMA report</b:Title>
    <b:PeriodicalTitle>GamesIndustry.biz</b:PeriodicalTitle>
    <b:Year>2023</b:Year>
    <b:RefOrder>19</b:RefOrder>
  </b:Source>
  <b:Source>
    <b:Tag>Bey15</b:Tag>
    <b:SourceType>Report</b:SourceType>
    <b:Guid>{B1A56C42-F02A-4C26-A4C1-4A59CE07B7C9}</b:Guid>
    <b:Author>
      <b:Author>
        <b:NameList>
          <b:Person>
            <b:Last>Beyer</b:Last>
            <b:First>H. T.</b:First>
          </b:Person>
        </b:NameList>
      </b:Author>
    </b:Author>
    <b:Title>Implementation of a method for hydraulic erosion</b:Title>
    <b:Year>2015</b:Year>
    <b:Institution>Technische Universität München</b:Institution>
    <b:Comments>Bachelor's thesis</b:Comments>
    <b:RefOrder>20</b:RefOrder>
  </b:Source>
  <b:Source>
    <b:Tag>Aal15</b:Tag>
    <b:SourceType>ConferenceProceedings</b:SourceType>
    <b:Guid>{B1A56C42-F02A-4C26-A4C1-4A59CE07B7E0}</b:Guid>
    <b:Author>
      <b:Author>
        <b:NameList>
          <b:Person>
            <b:Last>Aaltonen</b:Last>
            <b:First>S.</b:First>
          </b:Person>
          <b:Person>
            <b:Last>Haar</b:Last>
            <b:First>U.</b:First>
          </b:Person>
        </b:NameList>
      </b:Author>
    </b:Author>
    <b:Title>GPU-Driven Rendering Pipelines</b:Title>
    <b:ConferenceName>Advances in Real-Time Rendering in Games (SIGGRAPH 2015)</b:ConferenceName>
    <b:Year>2015</b:Year>
    <b:RefOrder>21</b:RefOrder>
  </b:Source>
</b:Sources>
</file>

<file path=customXml/itemProps1.xml><?xml version="1.0" encoding="utf-8"?>
<ds:datastoreItem xmlns:ds="http://schemas.openxmlformats.org/officeDocument/2006/customXml" ds:itemID="{5DCDB106-43B1-4421-93A9-80AB7D0C0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Diaconescu Andrei Alexandru</dc:creator>
  <cp:keywords/>
  <dc:description/>
  <cp:lastModifiedBy>Diaconescu Andrei Alexandru</cp:lastModifiedBy>
  <cp:revision>2</cp:revision>
  <dcterms:created xsi:type="dcterms:W3CDTF">2026-06-17T20:50:00Z</dcterms:created>
  <dcterms:modified xsi:type="dcterms:W3CDTF">2026-06-17T20:51:00Z</dcterms:modified>
</cp:coreProperties>
</file>