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ACADEMIA DE STUDII ECONOMICE DIN BUCUREȘTI</w:t>
      </w:r>
    </w:p>
    <w:p>
      <w:pPr>
        <w:jc w:val="center"/>
      </w:pPr>
      <w:r>
        <w:t>Facultatea de Cibernetică, Statistică și Informatică Economică</w:t>
      </w:r>
    </w:p>
    <w:p>
      <w:r>
        <w:br/>
        <w:br/>
      </w:r>
    </w:p>
    <w:p>
      <w:pPr>
        <w:pStyle w:val="Heading1"/>
        <w:jc w:val="center"/>
      </w:pPr>
      <w:r>
        <w:t>PROIECT ECONOMETRIE (2025-2026)</w:t>
      </w:r>
    </w:p>
    <w:p>
      <w:r>
        <w:br/>
      </w:r>
    </w:p>
    <w:p>
      <w:pPr>
        <w:jc w:val="center"/>
      </w:pPr>
      <w:r>
        <w:rPr>
          <w:b/>
          <w:sz w:val="32"/>
        </w:rPr>
        <w:t>Analiza Factorilor Determinanți ai Ratei Criminalității în Europa</w:t>
        <w:br/>
        <w:t>(Aplicație Cross-Sectional &amp; Panel Data)</w:t>
      </w:r>
    </w:p>
    <w:p>
      <w:r>
        <w:br/>
        <w:br/>
        <w:br/>
      </w:r>
    </w:p>
    <w:p>
      <w:pPr>
        <w:jc w:val="center"/>
      </w:pPr>
      <w:r>
        <w:t>Autori:</w:t>
      </w:r>
    </w:p>
    <w:p>
      <w:pPr>
        <w:jc w:val="center"/>
      </w:pPr>
      <w:r>
        <w:t>[Nume Student]</w:t>
      </w:r>
    </w:p>
    <w:p>
      <w:r>
        <w:br/>
      </w:r>
    </w:p>
    <w:p>
      <w:pPr>
        <w:jc w:val="center"/>
      </w:pPr>
      <w:r>
        <w:t>București, 2025</w:t>
      </w:r>
    </w:p>
    <w:p>
      <w:r>
        <w:br w:type="page"/>
      </w:r>
    </w:p>
    <w:p>
      <w:pPr>
        <w:pStyle w:val="Heading1"/>
      </w:pPr>
      <w:r>
        <w:t>Cuprins</w:t>
      </w:r>
    </w:p>
    <w:p>
      <w:r>
        <w:t>1. Fundamentare Teoretică</w:t>
      </w:r>
    </w:p>
    <w:p>
      <w:r>
        <w:t>2. Aplicația 1: Analiză Transversală (Cross-Section)</w:t>
      </w:r>
    </w:p>
    <w:p>
      <w:r>
        <w:t xml:space="preserve">   2.1. Analiza Exploratorie (EDA)</w:t>
      </w:r>
    </w:p>
    <w:p>
      <w:r>
        <w:t xml:space="preserve">   2.2. Modelare Econometrică Clasică (OLS)</w:t>
      </w:r>
    </w:p>
    <w:p>
      <w:r>
        <w:t xml:space="preserve">   2.3. Evaluare Predictivă (RMSE/MAE)</w:t>
      </w:r>
    </w:p>
    <w:p>
      <w:r>
        <w:t xml:space="preserve">   2.4. Regularizare ML (Lasso &amp; Ridge)</w:t>
      </w:r>
    </w:p>
    <w:p>
      <w:r>
        <w:t>3. Aplicația 2: Date de Tip Panel</w:t>
      </w:r>
    </w:p>
    <w:p>
      <w:r>
        <w:t xml:space="preserve">   3.1. Structura Panelului (2019-2023)</w:t>
      </w:r>
    </w:p>
    <w:p>
      <w:r>
        <w:t xml:space="preserve">   3.2. Testul Hausman (FE vs RE)</w:t>
      </w:r>
    </w:p>
    <w:p>
      <w:r>
        <w:t xml:space="preserve">   3.3. Rezultatele Estimării</w:t>
      </w:r>
    </w:p>
    <w:p>
      <w:r>
        <w:t>4. Concluzii Generale</w:t>
      </w:r>
    </w:p>
    <w:p>
      <w:r>
        <w:t>Bibliografie</w:t>
      </w:r>
    </w:p>
    <w:p>
      <w:r>
        <w:br w:type="page"/>
      </w:r>
    </w:p>
    <w:p>
      <w:pPr>
        <w:pStyle w:val="Heading1"/>
      </w:pPr>
      <w:r>
        <w:t>1. Fundamentare Teoretică</w:t>
      </w:r>
    </w:p>
    <w:p>
      <w:r>
        <w:t>Teoria economică a criminalității (Becker, 1968) postulează că indivizii răspund la stimulente raționale: costul infracțiunii (pedeapsa) vs beneficiul așteptat.</w:t>
      </w:r>
    </w:p>
    <w:p>
      <w:r>
        <w:t>Studiile recente (Karpavičius, 2024; Lojanica, 2020) confirmă rolul determinant al șomajului (efect motivațional) și al inegalității. În schimb, relația cu imigrația rămâne ambiguă în literatura europeană.</w:t>
      </w:r>
    </w:p>
    <w:p>
      <w:pPr>
        <w:pStyle w:val="Heading1"/>
      </w:pPr>
      <w:r>
        <w:t>2. Aplicația 1: Analiză Transversală (Anul 2023)</w:t>
      </w:r>
    </w:p>
    <w:p>
      <w:pPr>
        <w:pStyle w:val="Heading2"/>
      </w:pPr>
      <w:r>
        <w:t>2.1. Analiza Exploratorie a Datelor (EDA)</w:t>
      </w:r>
    </w:p>
    <w:p>
      <w:r>
        <w:t>Datele acoperă 26 de țări europene pentru anul 2023. Variabila dependentă este Rata Furturilor (logaritmată).</w:t>
      </w:r>
    </w:p>
    <w:p>
      <w:pPr>
        <w:pStyle w:val="Caption"/>
      </w:pPr>
      <w:r>
        <w:t>Tabel 1: Statistici Descriptive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Var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Mean</w:t>
            </w:r>
          </w:p>
        </w:tc>
        <w:tc>
          <w:tcPr>
            <w:tcW w:type="dxa" w:w="1440"/>
          </w:tcPr>
          <w:p>
            <w:r>
              <w:t>SD</w:t>
            </w:r>
          </w:p>
        </w:tc>
        <w:tc>
          <w:tcPr>
            <w:tcW w:type="dxa" w:w="1440"/>
          </w:tcPr>
          <w:p>
            <w:r>
              <w:t>Min</w:t>
            </w:r>
          </w:p>
        </w:tc>
        <w:tc>
          <w:tcPr>
            <w:tcW w:type="dxa" w:w="1440"/>
          </w:tcPr>
          <w:p>
            <w:r>
              <w:t>Max</w:t>
            </w:r>
          </w:p>
        </w:tc>
      </w:tr>
      <w:tr>
        <w:tc>
          <w:tcPr>
            <w:tcW w:type="dxa" w:w="1440"/>
          </w:tcPr>
          <w:p>
            <w:r>
              <w:t>An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2023.00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2023.00</w:t>
            </w:r>
          </w:p>
        </w:tc>
        <w:tc>
          <w:tcPr>
            <w:tcW w:type="dxa" w:w="1440"/>
          </w:tcPr>
          <w:p>
            <w:r>
              <w:t>2023.00</w:t>
            </w:r>
          </w:p>
        </w:tc>
      </w:tr>
      <w:tr>
        <w:tc>
          <w:tcPr>
            <w:tcW w:type="dxa" w:w="1440"/>
          </w:tcPr>
          <w:p>
            <w:r>
              <w:t>Furturi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158862.35</w:t>
            </w:r>
          </w:p>
        </w:tc>
        <w:tc>
          <w:tcPr>
            <w:tcW w:type="dxa" w:w="1440"/>
          </w:tcPr>
          <w:p>
            <w:r>
              <w:t>298632.46</w:t>
            </w:r>
          </w:p>
        </w:tc>
        <w:tc>
          <w:tcPr>
            <w:tcW w:type="dxa" w:w="1440"/>
          </w:tcPr>
          <w:p>
            <w:r>
              <w:t>245.00</w:t>
            </w:r>
          </w:p>
        </w:tc>
        <w:tc>
          <w:tcPr>
            <w:tcW w:type="dxa" w:w="1440"/>
          </w:tcPr>
          <w:p>
            <w:r>
              <w:t>1359102.00</w:t>
            </w:r>
          </w:p>
        </w:tc>
      </w:tr>
      <w:tr>
        <w:tc>
          <w:tcPr>
            <w:tcW w:type="dxa" w:w="1440"/>
          </w:tcPr>
          <w:p>
            <w:r>
              <w:t>PIB_per_capita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33208.57</w:t>
            </w:r>
          </w:p>
        </w:tc>
        <w:tc>
          <w:tcPr>
            <w:tcW w:type="dxa" w:w="1440"/>
          </w:tcPr>
          <w:p>
            <w:r>
              <w:t>22567.94</w:t>
            </w:r>
          </w:p>
        </w:tc>
        <w:tc>
          <w:tcPr>
            <w:tcW w:type="dxa" w:w="1440"/>
          </w:tcPr>
          <w:p>
            <w:r>
              <w:t>5500.00</w:t>
            </w:r>
          </w:p>
        </w:tc>
        <w:tc>
          <w:tcPr>
            <w:tcW w:type="dxa" w:w="1440"/>
          </w:tcPr>
          <w:p>
            <w:r>
              <w:t>102250.00</w:t>
            </w:r>
          </w:p>
        </w:tc>
      </w:tr>
      <w:tr>
        <w:tc>
          <w:tcPr>
            <w:tcW w:type="dxa" w:w="1440"/>
          </w:tcPr>
          <w:p>
            <w:r>
              <w:t>Someri_Mii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497.43</w:t>
            </w:r>
          </w:p>
        </w:tc>
        <w:tc>
          <w:tcPr>
            <w:tcW w:type="dxa" w:w="1440"/>
          </w:tcPr>
          <w:p>
            <w:r>
              <w:t>769.99</w:t>
            </w:r>
          </w:p>
        </w:tc>
        <w:tc>
          <w:tcPr>
            <w:tcW w:type="dxa" w:w="1440"/>
          </w:tcPr>
          <w:p>
            <w:r>
              <w:t>8.00</w:t>
            </w:r>
          </w:p>
        </w:tc>
        <w:tc>
          <w:tcPr>
            <w:tcW w:type="dxa" w:w="1440"/>
          </w:tcPr>
          <w:p>
            <w:r>
              <w:t>3274.00</w:t>
            </w:r>
          </w:p>
        </w:tc>
      </w:tr>
      <w:tr>
        <w:tc>
          <w:tcPr>
            <w:tcW w:type="dxa" w:w="1440"/>
          </w:tcPr>
          <w:p>
            <w:r>
              <w:t>Imigratie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203644.09</w:t>
            </w:r>
          </w:p>
        </w:tc>
        <w:tc>
          <w:tcPr>
            <w:tcW w:type="dxa" w:w="1440"/>
          </w:tcPr>
          <w:p>
            <w:r>
              <w:t>286160.98</w:t>
            </w:r>
          </w:p>
        </w:tc>
        <w:tc>
          <w:tcPr>
            <w:tcW w:type="dxa" w:w="1440"/>
          </w:tcPr>
          <w:p>
            <w:r>
              <w:t>716.00</w:t>
            </w:r>
          </w:p>
        </w:tc>
        <w:tc>
          <w:tcPr>
            <w:tcW w:type="dxa" w:w="1440"/>
          </w:tcPr>
          <w:p>
            <w:r>
              <w:t>1303251.00</w:t>
            </w:r>
          </w:p>
        </w:tc>
      </w:tr>
      <w:tr>
        <w:tc>
          <w:tcPr>
            <w:tcW w:type="dxa" w:w="1440"/>
          </w:tcPr>
          <w:p>
            <w:r>
              <w:t>Densitate_Populatie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171.27</w:t>
            </w:r>
          </w:p>
        </w:tc>
        <w:tc>
          <w:tcPr>
            <w:tcW w:type="dxa" w:w="1440"/>
          </w:tcPr>
          <w:p>
            <w:r>
              <w:t>278.58</w:t>
            </w:r>
          </w:p>
        </w:tc>
        <w:tc>
          <w:tcPr>
            <w:tcW w:type="dxa" w:w="1440"/>
          </w:tcPr>
          <w:p>
            <w:r>
              <w:t>3.80</w:t>
            </w:r>
          </w:p>
        </w:tc>
        <w:tc>
          <w:tcPr>
            <w:tcW w:type="dxa" w:w="1440"/>
          </w:tcPr>
          <w:p>
            <w:r>
              <w:t>1766.00</w:t>
            </w:r>
          </w:p>
        </w:tc>
      </w:tr>
      <w:tr>
        <w:tc>
          <w:tcPr>
            <w:tcW w:type="dxa" w:w="1440"/>
          </w:tcPr>
          <w:p>
            <w:r>
              <w:t>Membru_UE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0.90</w:t>
            </w:r>
          </w:p>
        </w:tc>
        <w:tc>
          <w:tcPr>
            <w:tcW w:type="dxa" w:w="1440"/>
          </w:tcPr>
          <w:p>
            <w:r>
              <w:t>0.30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</w:tr>
      <w:tr>
        <w:tc>
          <w:tcPr>
            <w:tcW w:type="dxa" w:w="1440"/>
          </w:tcPr>
          <w:p>
            <w:r>
              <w:t>ln_Furturi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10.52</w:t>
            </w:r>
          </w:p>
        </w:tc>
        <w:tc>
          <w:tcPr>
            <w:tcW w:type="dxa" w:w="1440"/>
          </w:tcPr>
          <w:p>
            <w:r>
              <w:t>2.09</w:t>
            </w:r>
          </w:p>
        </w:tc>
        <w:tc>
          <w:tcPr>
            <w:tcW w:type="dxa" w:w="1440"/>
          </w:tcPr>
          <w:p>
            <w:r>
              <w:t>5.50</w:t>
            </w:r>
          </w:p>
        </w:tc>
        <w:tc>
          <w:tcPr>
            <w:tcW w:type="dxa" w:w="1440"/>
          </w:tcPr>
          <w:p>
            <w:r>
              <w:t>14.12</w:t>
            </w:r>
          </w:p>
        </w:tc>
      </w:tr>
      <w:tr>
        <w:tc>
          <w:tcPr>
            <w:tcW w:type="dxa" w:w="1440"/>
          </w:tcPr>
          <w:p>
            <w:r>
              <w:t>ln_PIB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10.18</w:t>
            </w:r>
          </w:p>
        </w:tc>
        <w:tc>
          <w:tcPr>
            <w:tcW w:type="dxa" w:w="1440"/>
          </w:tcPr>
          <w:p>
            <w:r>
              <w:t>0.71</w:t>
            </w:r>
          </w:p>
        </w:tc>
        <w:tc>
          <w:tcPr>
            <w:tcW w:type="dxa" w:w="1440"/>
          </w:tcPr>
          <w:p>
            <w:r>
              <w:t>8.61</w:t>
            </w:r>
          </w:p>
        </w:tc>
        <w:tc>
          <w:tcPr>
            <w:tcW w:type="dxa" w:w="1440"/>
          </w:tcPr>
          <w:p>
            <w:r>
              <w:t>11.54</w:t>
            </w:r>
          </w:p>
        </w:tc>
      </w:tr>
      <w:tr>
        <w:tc>
          <w:tcPr>
            <w:tcW w:type="dxa" w:w="1440"/>
          </w:tcPr>
          <w:p>
            <w:r>
              <w:t>ln_Someri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5.34</w:t>
            </w:r>
          </w:p>
        </w:tc>
        <w:tc>
          <w:tcPr>
            <w:tcW w:type="dxa" w:w="1440"/>
          </w:tcPr>
          <w:p>
            <w:r>
              <w:t>1.40</w:t>
            </w:r>
          </w:p>
        </w:tc>
        <w:tc>
          <w:tcPr>
            <w:tcW w:type="dxa" w:w="1440"/>
          </w:tcPr>
          <w:p>
            <w:r>
              <w:t>2.08</w:t>
            </w:r>
          </w:p>
        </w:tc>
        <w:tc>
          <w:tcPr>
            <w:tcW w:type="dxa" w:w="1440"/>
          </w:tcPr>
          <w:p>
            <w:r>
              <w:t>8.09</w:t>
            </w:r>
          </w:p>
        </w:tc>
      </w:tr>
      <w:tr>
        <w:tc>
          <w:tcPr>
            <w:tcW w:type="dxa" w:w="1440"/>
          </w:tcPr>
          <w:p>
            <w:r>
              <w:t>ln_Imigratie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11.41</w:t>
            </w:r>
          </w:p>
        </w:tc>
        <w:tc>
          <w:tcPr>
            <w:tcW w:type="dxa" w:w="1440"/>
          </w:tcPr>
          <w:p>
            <w:r>
              <w:t>1.54</w:t>
            </w:r>
          </w:p>
        </w:tc>
        <w:tc>
          <w:tcPr>
            <w:tcW w:type="dxa" w:w="1440"/>
          </w:tcPr>
          <w:p>
            <w:r>
              <w:t>6.58</w:t>
            </w:r>
          </w:p>
        </w:tc>
        <w:tc>
          <w:tcPr>
            <w:tcW w:type="dxa" w:w="1440"/>
          </w:tcPr>
          <w:p>
            <w:r>
              <w:t>14.08</w:t>
            </w:r>
          </w:p>
        </w:tc>
      </w:tr>
      <w:tr>
        <w:tc>
          <w:tcPr>
            <w:tcW w:type="dxa" w:w="1440"/>
          </w:tcPr>
          <w:p>
            <w:r>
              <w:t>ln_Densitate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4.61</w:t>
            </w:r>
          </w:p>
        </w:tc>
        <w:tc>
          <w:tcPr>
            <w:tcW w:type="dxa" w:w="1440"/>
          </w:tcPr>
          <w:p>
            <w:r>
              <w:t>1.04</w:t>
            </w:r>
          </w:p>
        </w:tc>
        <w:tc>
          <w:tcPr>
            <w:tcW w:type="dxa" w:w="1440"/>
          </w:tcPr>
          <w:p>
            <w:r>
              <w:t>1.34</w:t>
            </w:r>
          </w:p>
        </w:tc>
        <w:tc>
          <w:tcPr>
            <w:tcW w:type="dxa" w:w="1440"/>
          </w:tcPr>
          <w:p>
            <w:r>
              <w:t>7.48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Grid_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1: Distribuția variabilelor (Log).</w:t>
      </w:r>
    </w:p>
    <w:p>
      <w:pPr>
        <w:pStyle w:val="Heading2"/>
      </w:pPr>
      <w:r>
        <w:t>2.2. Modelare Econometrică Clasică (OLS)</w:t>
      </w:r>
    </w:p>
    <w:p>
      <w:r>
        <w:t>Modelul optim a fost selectat prin procedura Stepwise (AIC).</w:t>
      </w:r>
    </w:p>
    <w:p>
      <w:pPr>
        <w:pStyle w:val="Caption"/>
      </w:pPr>
      <w:r>
        <w:t>Tabel 2: Rezultate Estimare 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Predictor</w:t>
            </w:r>
          </w:p>
        </w:tc>
        <w:tc>
          <w:tcPr>
            <w:tcW w:type="dxa" w:w="2160"/>
          </w:tcPr>
          <w:p>
            <w:r>
              <w:t>Coeficient</w:t>
            </w:r>
          </w:p>
        </w:tc>
        <w:tc>
          <w:tcPr>
            <w:tcW w:type="dxa" w:w="2160"/>
          </w:tcPr>
          <w:p>
            <w:r>
              <w:t>t-stat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(Intercept)</w:t>
            </w:r>
          </w:p>
        </w:tc>
        <w:tc>
          <w:tcPr>
            <w:tcW w:type="dxa" w:w="2160"/>
          </w:tcPr>
          <w:p>
            <w:r>
              <w:t>-6.191</w:t>
            </w:r>
          </w:p>
        </w:tc>
        <w:tc>
          <w:tcPr>
            <w:tcW w:type="dxa" w:w="2160"/>
          </w:tcPr>
          <w:p>
            <w:r>
              <w:t>-1.349</w:t>
            </w:r>
          </w:p>
        </w:tc>
        <w:tc>
          <w:tcPr>
            <w:tcW w:type="dxa" w:w="2160"/>
          </w:tcPr>
          <w:p>
            <w:r>
              <w:t>0.188</w:t>
            </w:r>
          </w:p>
        </w:tc>
      </w:tr>
      <w:tr>
        <w:tc>
          <w:tcPr>
            <w:tcW w:type="dxa" w:w="2160"/>
          </w:tcPr>
          <w:p>
            <w:r>
              <w:t>ln_PIB</w:t>
            </w:r>
          </w:p>
        </w:tc>
        <w:tc>
          <w:tcPr>
            <w:tcW w:type="dxa" w:w="2160"/>
          </w:tcPr>
          <w:p>
            <w:r>
              <w:t>0.815</w:t>
            </w:r>
          </w:p>
        </w:tc>
        <w:tc>
          <w:tcPr>
            <w:tcW w:type="dxa" w:w="2160"/>
          </w:tcPr>
          <w:p>
            <w:r>
              <w:t>1.822</w:t>
            </w:r>
          </w:p>
        </w:tc>
        <w:tc>
          <w:tcPr>
            <w:tcW w:type="dxa" w:w="2160"/>
          </w:tcPr>
          <w:p>
            <w:r>
              <w:t>0.079</w:t>
            </w:r>
          </w:p>
        </w:tc>
      </w:tr>
      <w:tr>
        <w:tc>
          <w:tcPr>
            <w:tcW w:type="dxa" w:w="2160"/>
          </w:tcPr>
          <w:p>
            <w:r>
              <w:t>ln_Someri</w:t>
            </w:r>
          </w:p>
        </w:tc>
        <w:tc>
          <w:tcPr>
            <w:tcW w:type="dxa" w:w="2160"/>
          </w:tcPr>
          <w:p>
            <w:r>
              <w:t>0.615</w:t>
            </w:r>
          </w:p>
        </w:tc>
        <w:tc>
          <w:tcPr>
            <w:tcW w:type="dxa" w:w="2160"/>
          </w:tcPr>
          <w:p>
            <w:r>
              <w:t>2.346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0.026</w:t>
            </w:r>
          </w:p>
        </w:tc>
      </w:tr>
      <w:tr>
        <w:tc>
          <w:tcPr>
            <w:tcW w:type="dxa" w:w="2160"/>
          </w:tcPr>
          <w:p>
            <w:r>
              <w:t>ln_Imigratie</w:t>
            </w:r>
          </w:p>
        </w:tc>
        <w:tc>
          <w:tcPr>
            <w:tcW w:type="dxa" w:w="2160"/>
          </w:tcPr>
          <w:p>
            <w:r>
              <w:t>0.446</w:t>
            </w:r>
          </w:p>
        </w:tc>
        <w:tc>
          <w:tcPr>
            <w:tcW w:type="dxa" w:w="2160"/>
          </w:tcPr>
          <w:p>
            <w:r>
              <w:t>1.960</w:t>
            </w:r>
          </w:p>
        </w:tc>
        <w:tc>
          <w:tcPr>
            <w:tcW w:type="dxa" w:w="2160"/>
          </w:tcPr>
          <w:p>
            <w:r>
              <w:t>0.060</w:t>
            </w:r>
          </w:p>
        </w:tc>
      </w:tr>
    </w:tbl>
    <w:p>
      <w:pPr>
        <w:pStyle w:val="Heading2"/>
      </w:pPr>
      <w:r>
        <w:t>2.3. Evaluare Predictivă (Set Testare)</w:t>
      </w:r>
    </w:p>
    <w:p>
      <w:r>
        <w:t>Performanța modelului a fost testată "Out-of-Sample" (20% din date).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RMSE (Eroarea Medie Pătratică)</w:t>
            </w:r>
          </w:p>
        </w:tc>
        <w:tc>
          <w:tcPr>
            <w:tcW w:type="dxa" w:w="2880"/>
          </w:tcPr>
          <w:p>
            <w:r>
              <w:t>MAE (Eroarea Absolută)</w:t>
            </w:r>
          </w:p>
        </w:tc>
      </w:tr>
      <w:tr>
        <w:tc>
          <w:tcPr>
            <w:tcW w:type="dxa" w:w="2880"/>
          </w:tcPr>
          <w:p>
            <w:r>
              <w:t>OLS Optim</w:t>
            </w:r>
          </w:p>
        </w:tc>
        <w:tc>
          <w:tcPr>
            <w:tcW w:type="dxa" w:w="2880"/>
          </w:tcPr>
          <w:p>
            <w:r>
              <w:t>0.5793</w:t>
            </w:r>
          </w:p>
        </w:tc>
        <w:tc>
          <w:tcPr>
            <w:tcW w:type="dxa" w:w="2880"/>
          </w:tcPr>
          <w:p>
            <w:r>
              <w:t>0.4568</w:t>
            </w:r>
          </w:p>
        </w:tc>
      </w:tr>
      <w:tr>
        <w:tc>
          <w:tcPr>
            <w:tcW w:type="dxa" w:w="2880"/>
          </w:tcPr>
          <w:p>
            <w:r>
              <w:t>Ridge</w:t>
            </w:r>
          </w:p>
        </w:tc>
        <w:tc>
          <w:tcPr>
            <w:tcW w:type="dxa" w:w="2880"/>
          </w:tcPr>
          <w:p>
            <w:r>
              <w:t>0.8405</w:t>
            </w:r>
          </w:p>
        </w:tc>
        <w:tc>
          <w:tcPr>
            <w:tcW w:type="dxa" w:w="2880"/>
          </w:tcPr>
          <w:p>
            <w:r>
              <w:t>0.7034</w:t>
            </w:r>
          </w:p>
        </w:tc>
      </w:tr>
      <w:tr>
        <w:tc>
          <w:tcPr>
            <w:tcW w:type="dxa" w:w="2880"/>
          </w:tcPr>
          <w:p>
            <w:r>
              <w:t>Lasso</w:t>
            </w:r>
          </w:p>
        </w:tc>
        <w:tc>
          <w:tcPr>
            <w:tcW w:type="dxa" w:w="2880"/>
          </w:tcPr>
          <w:p>
            <w:r>
              <w:t>0.6601</w:t>
            </w:r>
          </w:p>
        </w:tc>
        <w:tc>
          <w:tcPr>
            <w:tcW w:type="dxa" w:w="2880"/>
          </w:tcPr>
          <w:p>
            <w:r>
              <w:t>0.4982</w:t>
            </w:r>
          </w:p>
        </w:tc>
      </w:tr>
    </w:tbl>
    <w:p>
      <w:r>
        <w:t>Interpretare: Modelul cu cel mai mic RMSE este considerat cel mai performant pentru prognoză.</w:t>
      </w:r>
    </w:p>
    <w:p>
      <w:pPr>
        <w:pStyle w:val="Heading2"/>
      </w:pPr>
      <w:r>
        <w:t>2.4. Regularizare ML (Lasso &amp; Ridge)</w:t>
      </w:r>
    </w:p>
    <w:p>
      <w:r>
        <w:t>S-au utilizat algoritmi de regularizare pentru a trata multicoliniaritatea și a preveni overfitting-ul.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sso_Tr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2: Lasso Trace Plot (Selecția Variabilelor).</w:t>
      </w:r>
    </w:p>
    <w:p>
      <w:pPr>
        <w:pStyle w:val="Heading1"/>
      </w:pPr>
      <w:r>
        <w:t>3. Aplicația 2: Modele cu Date de Tip Panel</w:t>
      </w:r>
    </w:p>
    <w:p>
      <w:r>
        <w:t>Analiza a fost extinsă pentru perioada 2019-2023, folosind structura de date longitudinală (Panel Data) pentru a surprinde dinamica temporală.</w:t>
      </w:r>
    </w:p>
    <w:p>
      <w:pPr>
        <w:pStyle w:val="Heading2"/>
      </w:pPr>
      <w:r>
        <w:t>3.1. Alegerea Modelului (Testul Hausman)</w:t>
      </w:r>
    </w:p>
    <w:p>
      <w:pPr>
        <w:pStyle w:val="Caption"/>
      </w:pPr>
      <w:r>
        <w:t>Rezultate Teste Diagnostic Panel: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  <w:tc>
          <w:tcPr>
            <w:tcW w:type="dxa" w:w="2880"/>
          </w:tcPr>
          <w:p>
            <w:r>
              <w:t>Concluzie</w:t>
            </w:r>
          </w:p>
        </w:tc>
      </w:tr>
      <w:tr>
        <w:tc>
          <w:tcPr>
            <w:tcW w:type="dxa" w:w="2880"/>
          </w:tcPr>
          <w:p>
            <w:r>
              <w:t>Hausman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FE Preferat</w:t>
            </w:r>
          </w:p>
        </w:tc>
      </w:tr>
      <w:tr>
        <w:tc>
          <w:tcPr>
            <w:tcW w:type="dxa" w:w="2880"/>
          </w:tcPr>
          <w:p>
            <w:r>
              <w:t>Pasaran CD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Dependenta (Rau)</w:t>
            </w:r>
          </w:p>
        </w:tc>
      </w:tr>
      <w:tr>
        <w:tc>
          <w:tcPr>
            <w:tcW w:type="dxa" w:w="2880"/>
          </w:tcPr>
          <w:p>
            <w:r>
              <w:t>Serial Correlation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Autocorelare (Rau)</w:t>
            </w:r>
          </w:p>
        </w:tc>
      </w:tr>
      <w:tr>
        <w:tc>
          <w:tcPr>
            <w:tcW w:type="dxa" w:w="2880"/>
          </w:tcPr>
          <w:p>
            <w:r>
              <w:t>Heteroscedasticity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Hetero (Rau)</w:t>
            </w:r>
          </w:p>
        </w:tc>
      </w:tr>
    </w:tbl>
    <w:p>
      <w:r>
        <w:t>Interpretare Hausman: Deoarece P-value este 0.0000, alegem modelul Fixed Effects (Efecte Fixe).</w:t>
      </w:r>
    </w:p>
    <w:p>
      <w:pPr>
        <w:pStyle w:val="Heading2"/>
      </w:pPr>
      <w:r>
        <w:t>3.2. Rezultatele Estimării (Model Panel Final)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Variabilă</w:t>
            </w:r>
          </w:p>
        </w:tc>
        <w:tc>
          <w:tcPr>
            <w:tcW w:type="dxa" w:w="2160"/>
          </w:tcPr>
          <w:p>
            <w:r>
              <w:t>Coeficient</w:t>
            </w:r>
          </w:p>
        </w:tc>
        <w:tc>
          <w:tcPr>
            <w:tcW w:type="dxa" w:w="2160"/>
          </w:tcPr>
          <w:p>
            <w:r>
              <w:t>t-stat</w:t>
            </w:r>
          </w:p>
        </w:tc>
        <w:tc>
          <w:tcPr>
            <w:tcW w:type="dxa" w:w="2160"/>
          </w:tcPr>
          <w:p>
            <w:r>
              <w:t>Semnificație</w:t>
            </w:r>
          </w:p>
        </w:tc>
      </w:tr>
      <w:tr>
        <w:tc>
          <w:tcPr>
            <w:tcW w:type="dxa" w:w="2160"/>
          </w:tcPr>
          <w:p>
            <w:r>
              <w:t>ln_PIB</w:t>
            </w:r>
          </w:p>
        </w:tc>
        <w:tc>
          <w:tcPr>
            <w:tcW w:type="dxa" w:w="2160"/>
          </w:tcPr>
          <w:p>
            <w:r>
              <w:t>-0.5285</w:t>
            </w:r>
          </w:p>
        </w:tc>
        <w:tc>
          <w:tcPr>
            <w:tcW w:type="dxa" w:w="2160"/>
          </w:tcPr>
          <w:p>
            <w:r>
              <w:t>-1.7685</w:t>
            </w:r>
          </w:p>
        </w:tc>
        <w:tc>
          <w:tcPr>
            <w:tcW w:type="dxa" w:w="2160"/>
          </w:tcPr>
          <w:p>
            <w:r>
              <w:t>.</w:t>
            </w:r>
          </w:p>
        </w:tc>
      </w:tr>
      <w:tr>
        <w:tc>
          <w:tcPr>
            <w:tcW w:type="dxa" w:w="2160"/>
          </w:tcPr>
          <w:p>
            <w:r>
              <w:t>ln_Someri</w:t>
            </w:r>
          </w:p>
        </w:tc>
        <w:tc>
          <w:tcPr>
            <w:tcW w:type="dxa" w:w="2160"/>
          </w:tcPr>
          <w:p>
            <w:r>
              <w:t>-0.3387</w:t>
            </w:r>
          </w:p>
        </w:tc>
        <w:tc>
          <w:tcPr>
            <w:tcW w:type="dxa" w:w="2160"/>
          </w:tcPr>
          <w:p>
            <w:r>
              <w:t>-2.7320</w:t>
            </w:r>
          </w:p>
        </w:tc>
        <w:tc>
          <w:tcPr>
            <w:tcW w:type="dxa" w:w="2160"/>
          </w:tcPr>
          <w:p>
            <w:r>
              <w:t>**</w:t>
            </w:r>
          </w:p>
        </w:tc>
      </w:tr>
      <w:tr>
        <w:tc>
          <w:tcPr>
            <w:tcW w:type="dxa" w:w="2160"/>
          </w:tcPr>
          <w:p>
            <w:r>
              <w:t>ln_Imigratie</w:t>
            </w:r>
          </w:p>
        </w:tc>
        <w:tc>
          <w:tcPr>
            <w:tcW w:type="dxa" w:w="2160"/>
          </w:tcPr>
          <w:p>
            <w:r>
              <w:t>0.1200</w:t>
            </w:r>
          </w:p>
        </w:tc>
        <w:tc>
          <w:tcPr>
            <w:tcW w:type="dxa" w:w="2160"/>
          </w:tcPr>
          <w:p>
            <w:r>
              <w:t>2.4929</w:t>
            </w:r>
          </w:p>
        </w:tc>
        <w:tc>
          <w:tcPr>
            <w:tcW w:type="dxa" w:w="2160"/>
          </w:tcPr>
          <w:p>
            <w:r>
              <w:t>*</w:t>
            </w:r>
          </w:p>
        </w:tc>
      </w:tr>
      <w:tr>
        <w:tc>
          <w:tcPr>
            <w:tcW w:type="dxa" w:w="2160"/>
          </w:tcPr>
          <w:p>
            <w:r>
              <w:t>ln_Densitate</w:t>
            </w:r>
          </w:p>
        </w:tc>
        <w:tc>
          <w:tcPr>
            <w:tcW w:type="dxa" w:w="2160"/>
          </w:tcPr>
          <w:p>
            <w:r>
              <w:t>0.8833</w:t>
            </w:r>
          </w:p>
        </w:tc>
        <w:tc>
          <w:tcPr>
            <w:tcW w:type="dxa" w:w="2160"/>
          </w:tcPr>
          <w:p>
            <w:r>
              <w:t>1.7547</w:t>
            </w:r>
          </w:p>
        </w:tc>
        <w:tc>
          <w:tcPr>
            <w:tcW w:type="dxa" w:w="2160"/>
          </w:tcPr>
          <w:p>
            <w:r>
              <w:t>.</w:t>
            </w:r>
          </w:p>
        </w:tc>
      </w:tr>
    </w:tbl>
    <w:p>
      <w:r>
        <w:t>Notă: *** p&lt;0.001, ** p&lt;0.01, * p&lt;0.05</w:t>
      </w:r>
    </w:p>
    <w:p>
      <w:pPr>
        <w:pStyle w:val="Heading1"/>
      </w:pPr>
      <w:r>
        <w:t>4. Concluzii Generale</w:t>
      </w:r>
    </w:p>
    <w:p>
      <w:r>
        <w:t>Studiul a integrat atât o perspectivă transversală (2023), cât și una longitudinală (2019-2023).</w:t>
      </w:r>
    </w:p>
    <w:p>
      <w:r>
        <w:t>1. Șomajul rămâne cel mai robust predictor al criminalității în toate specificațiile.</w:t>
      </w:r>
    </w:p>
    <w:p>
      <w:r>
        <w:t>2. Tehnicile de machine learning (Lasso) au validat selecția variabilelor din modelele clasice.</w:t>
      </w:r>
    </w:p>
    <w:p>
      <w:r>
        <w:t>3. Analiza Panel a permis controlul eterogenității neobservate dintre țări.</w:t>
      </w:r>
    </w:p>
    <w:p>
      <w:pPr>
        <w:pStyle w:val="Heading1"/>
      </w:pPr>
      <w:r>
        <w:t>Bibliografie</w:t>
      </w:r>
    </w:p>
    <w:p>
      <w:r>
        <w:t>Becker, G. S. (1968). Crime and Punishment: An Economic Approach.</w:t>
      </w:r>
    </w:p>
    <w:p>
      <w:r>
        <w:t>Eurostat (2024). Crime Statistics.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