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CUPRINS</w:t>
      </w:r>
    </w:p>
    <w:p>
      <w:r>
        <w:fldChar w:fldCharType="begin"/>
      </w:r>
      <w:r>
        <w:instrText xml:space="preserve">TOC \o "1-3" \h \z \u</w:instrText>
      </w:r>
      <w:r>
        <w:fldChar w:fldCharType="separate"/>
      </w:r>
      <w:r>
        <w:t>Update Table (Click dreapta -&gt; Update Field)</w:t>
      </w:r>
      <w:r>
        <w:fldChar w:fldCharType="end"/>
      </w:r>
    </w:p>
    <w:p>
      <w:r>
        <w:br w:type="page"/>
      </w:r>
    </w:p>
    <w:p>
      <w:pPr>
        <w:pStyle w:val="Heading1"/>
      </w:pPr>
      <w:r>
        <w:rPr>
          <w:rFonts w:ascii="Times New Roman" w:hAnsi="Times New Roman" w:eastAsia="Times New Roman"/>
        </w:rPr>
        <w:t>Documentație Tehnică și Analitică: CD PROJEKT RED (2010 - 2025)</w:t>
      </w:r>
    </w:p>
    <w:p>
      <w:pPr>
        <w:ind w:firstLine="567"/>
      </w:pPr>
      <w:r>
        <w:rPr>
          <w:rFonts w:ascii="Times New Roman" w:hAnsi="Times New Roman" w:eastAsia="Times New Roman"/>
        </w:rPr>
      </w:r>
      <w:r>
        <w:rPr>
          <w:rFonts w:ascii="Times New Roman" w:hAnsi="Times New Roman" w:eastAsia="Times New Roman"/>
          <w:b/>
        </w:rPr>
        <w:t>Seminar: Pachete Software</w:t>
      </w:r>
      <w:r>
        <w:rPr>
          <w:rFonts w:ascii="Times New Roman" w:hAnsi="Times New Roman" w:eastAsia="Times New Roman"/>
        </w:rPr>
      </w:r>
    </w:p>
    <w:p>
      <w:pPr>
        <w:ind w:firstLine="567"/>
      </w:pPr>
      <w:r>
        <w:rPr>
          <w:rFonts w:ascii="Times New Roman" w:hAnsi="Times New Roman" w:eastAsia="Times New Roman"/>
        </w:rPr>
      </w:r>
      <w:r>
        <w:rPr>
          <w:rFonts w:ascii="Times New Roman" w:hAnsi="Times New Roman" w:eastAsia="Times New Roman"/>
          <w:b/>
        </w:rPr>
        <w:t>Tehnologii: Ecosistemul Python pentru Data Science</w:t>
      </w:r>
      <w:r>
        <w:rPr>
          <w:rFonts w:ascii="Times New Roman" w:hAnsi="Times New Roman" w:eastAsia="Times New Roman"/>
        </w:rPr>
      </w:r>
    </w:p>
    <w:p>
      <w:pPr>
        <w:pStyle w:val="Heading2"/>
      </w:pPr>
      <w:r>
        <w:rPr>
          <w:rFonts w:ascii="Times New Roman" w:hAnsi="Times New Roman" w:eastAsia="Times New Roman"/>
        </w:rPr>
        <w:t>Introducere și Ecosistemul Tehnologic</w:t>
      </w:r>
    </w:p>
    <w:p>
      <w:pPr>
        <w:ind w:firstLine="567"/>
      </w:pPr>
      <w:r>
        <w:rPr>
          <w:rFonts w:ascii="Times New Roman" w:hAnsi="Times New Roman" w:eastAsia="Times New Roman"/>
        </w:rPr>
        <w:t>Prezentul proiect constituie un sistem complex de Business Intelligence (BI) și Analiză Statistico-Financiară, dezvoltat pentru evaluarea performanței economice a grupului CD PROJEKT RED. Obiectivul fundamental al lucrării constă în integrarea metodelor cantitative cu tehnici avansate de modelare predictivă (Machine Learning).</w:t>
      </w:r>
    </w:p>
    <w:p>
      <w:pPr>
        <w:ind w:firstLine="567"/>
      </w:pPr>
      <w:r>
        <w:rPr>
          <w:rFonts w:ascii="Times New Roman" w:hAnsi="Times New Roman" w:eastAsia="Times New Roman"/>
        </w:rPr>
        <w:t>Pentru a realiza acest sistem, s-a utilizat ecosistemul Python, bazat pe următoarele pachete software:</w:t>
      </w:r>
    </w:p>
    <w:p>
      <w:pPr>
        <w:pStyle w:val="ListBullet"/>
      </w:pPr>
      <w:r>
        <w:rPr>
          <w:rFonts w:ascii="Times New Roman" w:hAnsi="Times New Roman" w:eastAsia="Times New Roman"/>
        </w:rPr>
      </w:r>
      <w:r>
        <w:rPr>
          <w:rFonts w:ascii="Times New Roman" w:hAnsi="Times New Roman" w:eastAsia="Times New Roman"/>
          <w:b/>
        </w:rPr>
        <w:t>Pandas</w:t>
      </w:r>
      <w:r>
        <w:rPr>
          <w:rFonts w:ascii="Times New Roman" w:hAnsi="Times New Roman" w:eastAsia="Times New Roman"/>
        </w:rPr>
        <w:t>: Reprezintă nucleul procesării datelor. Permite manipularea structurilor tabelare (</w:t>
      </w:r>
      <w:r>
        <w:rPr>
          <w:rFonts w:ascii="Times New Roman" w:hAnsi="Times New Roman" w:eastAsia="Times New Roman"/>
          <w:i/>
        </w:rPr>
        <w:t>DataFrames</w:t>
      </w:r>
      <w:r>
        <w:rPr>
          <w:rFonts w:ascii="Times New Roman" w:hAnsi="Times New Roman" w:eastAsia="Times New Roman"/>
        </w:rPr>
        <w:t>), curățarea valorilor lipsă, gruparea datelor (</w:t>
      </w:r>
      <w:r>
        <w:rPr>
          <w:rFonts w:ascii="Courier New" w:hAnsi="Courier New"/>
        </w:rPr>
        <w:t>groupby</w:t>
      </w:r>
      <w:r>
        <w:rPr>
          <w:rFonts w:ascii="Times New Roman" w:hAnsi="Times New Roman" w:eastAsia="Times New Roman"/>
        </w:rPr>
        <w:t>) și crearea de tabele pivot multidimensionale.</w:t>
      </w:r>
    </w:p>
    <w:p>
      <w:pPr>
        <w:pStyle w:val="ListBullet"/>
      </w:pPr>
      <w:r>
        <w:rPr>
          <w:rFonts w:ascii="Times New Roman" w:hAnsi="Times New Roman" w:eastAsia="Times New Roman"/>
        </w:rPr>
      </w:r>
      <w:r>
        <w:rPr>
          <w:rFonts w:ascii="Times New Roman" w:hAnsi="Times New Roman" w:eastAsia="Times New Roman"/>
          <w:b/>
        </w:rPr>
        <w:t>Streamlit</w:t>
      </w:r>
      <w:r>
        <w:rPr>
          <w:rFonts w:ascii="Times New Roman" w:hAnsi="Times New Roman" w:eastAsia="Times New Roman"/>
        </w:rPr>
        <w:t>: Framework-ul utilizat pentru a transforma codul Python de analiză într-un Dashboard web interactiv, permițând utilizatorului să ajusteze parametrii modelelor în timp real.</w:t>
      </w:r>
    </w:p>
    <w:p>
      <w:pPr>
        <w:pStyle w:val="ListBullet"/>
      </w:pPr>
      <w:r>
        <w:rPr>
          <w:rFonts w:ascii="Times New Roman" w:hAnsi="Times New Roman" w:eastAsia="Times New Roman"/>
        </w:rPr>
      </w:r>
      <w:r>
        <w:rPr>
          <w:rFonts w:ascii="Times New Roman" w:hAnsi="Times New Roman" w:eastAsia="Times New Roman"/>
          <w:b/>
        </w:rPr>
        <w:t>Scikit-Learn (Sklearn)</w:t>
      </w:r>
      <w:r>
        <w:rPr>
          <w:rFonts w:ascii="Times New Roman" w:hAnsi="Times New Roman" w:eastAsia="Times New Roman"/>
        </w:rPr>
        <w:t>: Biblioteca esențială pentru Machine Learning. A fost utilizată pentru scalarea datelor (StandardScaler, RobustScaler), învățare supervizată (Regresie Logistică) și nesupervizată (Clusterizare K-Means).</w:t>
      </w:r>
    </w:p>
    <w:p>
      <w:pPr>
        <w:pStyle w:val="ListBullet"/>
      </w:pPr>
      <w:r>
        <w:rPr>
          <w:rFonts w:ascii="Times New Roman" w:hAnsi="Times New Roman" w:eastAsia="Times New Roman"/>
        </w:rPr>
      </w:r>
      <w:r>
        <w:rPr>
          <w:rFonts w:ascii="Times New Roman" w:hAnsi="Times New Roman" w:eastAsia="Times New Roman"/>
          <w:b/>
        </w:rPr>
        <w:t>Statsmodels</w:t>
      </w:r>
      <w:r>
        <w:rPr>
          <w:rFonts w:ascii="Times New Roman" w:hAnsi="Times New Roman" w:eastAsia="Times New Roman"/>
        </w:rPr>
        <w:t>: Utilizată pentru analiza econometrică tradițională, oferind statistici detaliate, coeficienți preciși și teste de ipoteză (P-values) imposibil de extras la fel de ușor din alte pachete.</w:t>
      </w:r>
    </w:p>
    <w:p>
      <w:pPr>
        <w:pStyle w:val="ListBullet"/>
      </w:pPr>
      <w:r>
        <w:rPr>
          <w:rFonts w:ascii="Times New Roman" w:hAnsi="Times New Roman" w:eastAsia="Times New Roman"/>
        </w:rPr>
      </w:r>
      <w:r>
        <w:rPr>
          <w:rFonts w:ascii="Times New Roman" w:hAnsi="Times New Roman" w:eastAsia="Times New Roman"/>
          <w:b/>
        </w:rPr>
        <w:t>Geopandas &amp; Plotly</w:t>
      </w:r>
      <w:r>
        <w:rPr>
          <w:rFonts w:ascii="Times New Roman" w:hAnsi="Times New Roman" w:eastAsia="Times New Roman"/>
        </w:rPr>
        <w:t>: Instrumentele principale pentru generarea vizualizărilor interactive și a hărților coropletice pentru distribuția veniturilor globale.</w:t>
      </w:r>
    </w:p>
    <w:p>
      <w:pPr>
        <w:pStyle w:val="Heading2"/>
      </w:pPr>
      <w:r>
        <w:rPr>
          <w:rFonts w:ascii="Times New Roman" w:hAnsi="Times New Roman" w:eastAsia="Times New Roman"/>
        </w:rPr>
        <w:t>1. Evoluția Financiară și Statistici Descriptive</w:t>
      </w:r>
    </w:p>
    <w:p>
      <w:pPr>
        <w:ind w:firstLine="567"/>
      </w:pPr>
      <w:r>
        <w:rPr>
          <w:rFonts w:ascii="Times New Roman" w:hAnsi="Times New Roman" w:eastAsia="Times New Roman"/>
        </w:rPr>
      </w:r>
      <w:r>
        <w:rPr>
          <w:rFonts w:ascii="Times New Roman" w:hAnsi="Times New Roman" w:eastAsia="Times New Roman"/>
          <w:b/>
        </w:rPr>
        <w:t>Concept Teoretic:</w:t>
      </w:r>
      <w:r>
        <w:rPr>
          <w:rFonts w:ascii="Times New Roman" w:hAnsi="Times New Roman" w:eastAsia="Times New Roman"/>
        </w:rPr>
        <w:t xml:space="preserve"> Statisticile descriptive reprezintă primul pas în analiza de date, calculând indicatori precum media, mediana, valorile maxime și minime. Acestea oferă un "rezumat executiv" al scării la care operează compania și ajută la înțelegerea volatilității pieței.</w:t>
      </w:r>
    </w:p>
    <w:p>
      <w:pPr>
        <w:ind w:firstLine="567"/>
      </w:pPr>
      <w:r>
        <w:rPr>
          <w:rFonts w:ascii="Times New Roman" w:hAnsi="Times New Roman" w:eastAsia="Times New Roman"/>
        </w:rPr>
        <w:t>&gt;[SCREENSHOT "Tabel Complet — Date Financiare CDPR"]</w:t>
      </w:r>
    </w:p>
    <w:p>
      <w:pPr>
        <w:ind w:firstLine="567"/>
      </w:pPr>
      <w:r>
        <w:rPr>
          <w:rFonts w:ascii="Times New Roman" w:hAnsi="Times New Roman" w:eastAsia="Times New Roman"/>
        </w:rPr>
        <w:t>&gt;[SCREENSHOT "📈 Evoluție Venituri" (graficul cu bare)]</w:t>
      </w:r>
    </w:p>
    <w:p>
      <w:pPr>
        <w:ind w:firstLine="567"/>
      </w:pPr>
      <w:r>
        <w:rPr>
          <w:rFonts w:ascii="Times New Roman" w:hAnsi="Times New Roman" w:eastAsia="Times New Roman"/>
        </w:rPr>
      </w:r>
      <w:r>
        <w:rPr>
          <w:rFonts w:ascii="Times New Roman" w:hAnsi="Times New Roman" w:eastAsia="Times New Roman"/>
          <w:b/>
        </w:rPr>
        <w:t>Interpretarea Datelor:</w:t>
      </w:r>
      <w:r>
        <w:rPr>
          <w:rFonts w:ascii="Times New Roman" w:hAnsi="Times New Roman" w:eastAsia="Times New Roman"/>
        </w:rPr>
      </w:r>
    </w:p>
    <w:p>
      <w:pPr>
        <w:ind w:firstLine="567"/>
      </w:pPr>
      <w:r>
        <w:rPr>
          <w:rFonts w:ascii="Times New Roman" w:hAnsi="Times New Roman" w:eastAsia="Times New Roman"/>
        </w:rPr>
        <w:t>În perioada 2010-2025, compania a generat venituri totale de peste 10.3 miliarde PLN și un profit net cumulat de 4.4 miliarde PLN. Media anuală a profitului s-a situat în jurul valorii de 275,000 PLN, obținând o marjă globală excelentă de aproximativ 42.4%.</w:t>
      </w:r>
    </w:p>
    <w:p>
      <w:pPr>
        <w:ind w:firstLine="567"/>
      </w:pPr>
      <w:r>
        <w:rPr>
          <w:rFonts w:ascii="Times New Roman" w:hAnsi="Times New Roman" w:eastAsia="Times New Roman"/>
        </w:rPr>
        <w:t xml:space="preserve">Totuși, așa cum arată graficele evolutive, analizăm o volatilitate extremă. Un singur exercițiu financiar, anul lansării </w:t>
      </w:r>
      <w:r>
        <w:rPr>
          <w:rFonts w:ascii="Times New Roman" w:hAnsi="Times New Roman" w:eastAsia="Times New Roman"/>
          <w:i/>
        </w:rPr>
        <w:t>Cyberpunk 2077</w:t>
      </w:r>
      <w:r>
        <w:rPr>
          <w:rFonts w:ascii="Times New Roman" w:hAnsi="Times New Roman" w:eastAsia="Times New Roman"/>
        </w:rPr>
        <w:t xml:space="preserve"> (2020), a generat un profit record de 1.15 miliarde PLN, reprezentând aproximativ 26% din întregul profit istoric al companiei, demonstrând riscul inerent, dar și randamentul masiv al modelului "blockbuster" din industria de gaming.</w:t>
      </w:r>
    </w:p>
    <w:p>
      <w:pPr>
        <w:pStyle w:val="Heading2"/>
      </w:pPr>
      <w:r>
        <w:rPr>
          <w:rFonts w:ascii="Times New Roman" w:hAnsi="Times New Roman" w:eastAsia="Times New Roman"/>
        </w:rPr>
        <w:t>2. Distribuția Geografică a Veniturilor</w:t>
      </w:r>
    </w:p>
    <w:p>
      <w:pPr>
        <w:ind w:firstLine="567"/>
      </w:pPr>
      <w:r>
        <w:rPr>
          <w:rFonts w:ascii="Times New Roman" w:hAnsi="Times New Roman" w:eastAsia="Times New Roman"/>
        </w:rPr>
      </w:r>
      <w:r>
        <w:rPr>
          <w:rFonts w:ascii="Times New Roman" w:hAnsi="Times New Roman" w:eastAsia="Times New Roman"/>
          <w:b/>
        </w:rPr>
        <w:t>Concept Teoretic:</w:t>
      </w:r>
      <w:r>
        <w:rPr>
          <w:rFonts w:ascii="Times New Roman" w:hAnsi="Times New Roman" w:eastAsia="Times New Roman"/>
        </w:rPr>
        <w:t xml:space="preserve"> Analiza geospațială presupune cartografierea datelor financiare (Revenue) pe coordonate geografice. Aceasta se realizează prin îmbinarea datelor contabile cu geometrii de tip GeoJSON, permițând evaluarea dependenței corporative de anumite piețe (Risc de Țară).</w:t>
      </w:r>
    </w:p>
    <w:p>
      <w:pPr>
        <w:ind w:firstLine="567"/>
      </w:pPr>
      <w:r>
        <w:rPr>
          <w:rFonts w:ascii="Times New Roman" w:hAnsi="Times New Roman" w:eastAsia="Times New Roman"/>
        </w:rPr>
        <w:t>&gt;[SCREENSHOT "Harta Distribuției Veniturilor" (Harta interactivă din Streamlit)]</w:t>
      </w:r>
    </w:p>
    <w:p>
      <w:pPr>
        <w:ind w:firstLine="567"/>
      </w:pPr>
      <w:r>
        <w:rPr>
          <w:rFonts w:ascii="Times New Roman" w:hAnsi="Times New Roman" w:eastAsia="Times New Roman"/>
        </w:rPr>
        <w:t>&gt;[SCREENSHOT "Structura Veniturilor pe regiuni"]</w:t>
      </w:r>
    </w:p>
    <w:p>
      <w:pPr>
        <w:ind w:firstLine="567"/>
      </w:pPr>
      <w:r>
        <w:rPr>
          <w:rFonts w:ascii="Times New Roman" w:hAnsi="Times New Roman" w:eastAsia="Times New Roman"/>
        </w:rPr>
      </w:r>
      <w:r>
        <w:rPr>
          <w:rFonts w:ascii="Times New Roman" w:hAnsi="Times New Roman" w:eastAsia="Times New Roman"/>
          <w:b/>
        </w:rPr>
        <w:t>Interpretarea Datelor:</w:t>
      </w:r>
      <w:r>
        <w:rPr>
          <w:rFonts w:ascii="Times New Roman" w:hAnsi="Times New Roman" w:eastAsia="Times New Roman"/>
        </w:rPr>
      </w:r>
    </w:p>
    <w:p>
      <w:pPr>
        <w:ind w:firstLine="567"/>
      </w:pPr>
      <w:r>
        <w:rPr>
          <w:rFonts w:ascii="Times New Roman" w:hAnsi="Times New Roman" w:eastAsia="Times New Roman"/>
        </w:rPr>
        <w:t>Datele istorice indică o tranziție strategică radicală. Dacă la începutul deceniului precedent (2010) compania depindea puternic de piața europeană (40%) și cea locală (Polonia cumulând 20%), pe parcursul celor 16 ani expansiunea transatlantică a devenit principala sursă de venit. Până în 2025, piața din America de Nord a ajuns să reprezinte 75.5% din încasări. Această evoluție validează maturizarea brandului CD Projekt Red și o penetrare masivă pe cea mai dezvoltată și competitivă piață de divertisment digital la nivel mondial.</w:t>
      </w:r>
    </w:p>
    <w:p>
      <w:pPr>
        <w:pStyle w:val="Heading2"/>
      </w:pPr>
      <w:r>
        <w:rPr>
          <w:rFonts w:ascii="Times New Roman" w:hAnsi="Times New Roman" w:eastAsia="Times New Roman"/>
        </w:rPr>
        <w:t>3. Analiza Valorilor Lipsă și Detectarea Anomaliilor (Outliers)</w:t>
      </w:r>
    </w:p>
    <w:p>
      <w:pPr>
        <w:ind w:firstLine="567"/>
      </w:pPr>
      <w:r>
        <w:rPr>
          <w:rFonts w:ascii="Times New Roman" w:hAnsi="Times New Roman" w:eastAsia="Times New Roman"/>
        </w:rPr>
      </w:r>
      <w:r>
        <w:rPr>
          <w:rFonts w:ascii="Times New Roman" w:hAnsi="Times New Roman" w:eastAsia="Times New Roman"/>
          <w:b/>
        </w:rPr>
        <w:t>Concept Teoretic:</w:t>
      </w:r>
      <w:r>
        <w:rPr>
          <w:rFonts w:ascii="Times New Roman" w:hAnsi="Times New Roman" w:eastAsia="Times New Roman"/>
        </w:rPr>
        <w:t xml:space="preserve"> Datele brute din lumea reală sunt adesea incomplete sau conțin valori aberante (Outliers) care pot strica algoritmul de Machine Learning.</w:t>
      </w:r>
    </w:p>
    <w:p>
      <w:pPr>
        <w:ind w:firstLine="567"/>
      </w:pPr>
      <w:r>
        <w:rPr>
          <w:rFonts w:ascii="Times New Roman" w:hAnsi="Times New Roman" w:eastAsia="Times New Roman"/>
        </w:rPr>
      </w:r>
      <w:r>
        <w:rPr>
          <w:rFonts w:ascii="Times New Roman" w:hAnsi="Times New Roman" w:eastAsia="Times New Roman"/>
          <w:i/>
        </w:rPr>
        <w:t>Pentru anomalii</w:t>
      </w:r>
      <w:r>
        <w:rPr>
          <w:rFonts w:ascii="Times New Roman" w:hAnsi="Times New Roman" w:eastAsia="Times New Roman"/>
        </w:rPr>
        <w:t xml:space="preserve">, s-a utilizat metoda statistică </w:t>
      </w:r>
      <w:r>
        <w:rPr>
          <w:rFonts w:ascii="Times New Roman" w:hAnsi="Times New Roman" w:eastAsia="Times New Roman"/>
          <w:b/>
        </w:rPr>
        <w:t>IQR (Interquartile Range)</w:t>
      </w:r>
      <w:r>
        <w:rPr>
          <w:rFonts w:ascii="Times New Roman" w:hAnsi="Times New Roman" w:eastAsia="Times New Roman"/>
        </w:rPr>
        <w:t>. IQR calculează distanța dintre mijlocul jumătății superioare (Q3) și mijlocul jumătății inferioare (Q1) a datelor. Orice punct situat dincolo de limitele Q1 - 1.5 \times IQR sau Q3 + 1.5 \times IQR este izolat matematic ca fiind o anomalie.</w:t>
      </w:r>
    </w:p>
    <w:p>
      <w:pPr>
        <w:ind w:firstLine="567"/>
      </w:pPr>
      <w:r>
        <w:rPr>
          <w:rFonts w:ascii="Times New Roman" w:hAnsi="Times New Roman" w:eastAsia="Times New Roman"/>
        </w:rPr>
        <w:t>&gt;[SCREENSHOT "Analiza Valorilor Lipsă"]</w:t>
      </w:r>
    </w:p>
    <w:p>
      <w:pPr>
        <w:ind w:firstLine="567"/>
      </w:pPr>
      <w:r>
        <w:rPr>
          <w:rFonts w:ascii="Times New Roman" w:hAnsi="Times New Roman" w:eastAsia="Times New Roman"/>
        </w:rPr>
        <w:t>&gt;[SCREENSHOT "Detectarea Valorilor Extreme (Outliers)"]</w:t>
      </w:r>
    </w:p>
    <w:p>
      <w:pPr>
        <w:ind w:firstLine="567"/>
      </w:pPr>
      <w:r>
        <w:rPr>
          <w:rFonts w:ascii="Times New Roman" w:hAnsi="Times New Roman" w:eastAsia="Times New Roman"/>
        </w:rPr>
      </w:r>
      <w:r>
        <w:rPr>
          <w:rFonts w:ascii="Times New Roman" w:hAnsi="Times New Roman" w:eastAsia="Times New Roman"/>
          <w:b/>
        </w:rPr>
        <w:t>Interpretarea Datelor:</w:t>
      </w:r>
      <w:r>
        <w:rPr>
          <w:rFonts w:ascii="Times New Roman" w:hAnsi="Times New Roman" w:eastAsia="Times New Roman"/>
        </w:rPr>
      </w:r>
    </w:p>
    <w:p>
      <w:pPr>
        <w:ind w:firstLine="567"/>
      </w:pPr>
      <w:r>
        <w:rPr>
          <w:rFonts w:ascii="Times New Roman" w:hAnsi="Times New Roman" w:eastAsia="Times New Roman"/>
        </w:rPr>
        <w:t xml:space="preserve">După identificarea și tratarea lacunelor (valori NaN înainte de 2015 la indicatori precum RD_Expenditure sau EBITDA), algoritmul IQR a scanat automat istoricul de profitabilitate. Pragul superior de normalitate a fost stabilit matematic la 903,844 PLN. Conform acestui model, anul 2020, cu profitul său uluitor de 1,154,327 PLN, a fost catalogat automat drept </w:t>
      </w:r>
      <w:r>
        <w:rPr>
          <w:rFonts w:ascii="Times New Roman" w:hAnsi="Times New Roman" w:eastAsia="Times New Roman"/>
          <w:b/>
        </w:rPr>
        <w:t>Outlier (Anomalie pozitivă)</w:t>
      </w:r>
      <w:r>
        <w:rPr>
          <w:rFonts w:ascii="Times New Roman" w:hAnsi="Times New Roman" w:eastAsia="Times New Roman"/>
        </w:rPr>
        <w:t>. Această detecție validează faptul că șocul financiar produs de Cyberpunk 2077 a "spart" orice tipar de operare normală a studioului de până atunci.</w:t>
      </w:r>
    </w:p>
    <w:p>
      <w:pPr>
        <w:pStyle w:val="Heading2"/>
      </w:pPr>
      <w:r>
        <w:rPr>
          <w:rFonts w:ascii="Times New Roman" w:hAnsi="Times New Roman" w:eastAsia="Times New Roman"/>
        </w:rPr>
        <w:t>4. Pregătirea Datelor pentru Algoritmi (Encoding)</w:t>
      </w:r>
    </w:p>
    <w:p>
      <w:pPr>
        <w:ind w:firstLine="567"/>
      </w:pPr>
      <w:r>
        <w:rPr>
          <w:rFonts w:ascii="Times New Roman" w:hAnsi="Times New Roman" w:eastAsia="Times New Roman"/>
        </w:rPr>
      </w:r>
      <w:r>
        <w:rPr>
          <w:rFonts w:ascii="Times New Roman" w:hAnsi="Times New Roman" w:eastAsia="Times New Roman"/>
          <w:b/>
        </w:rPr>
        <w:t>Concept Teoretic:</w:t>
      </w:r>
      <w:r>
        <w:rPr>
          <w:rFonts w:ascii="Times New Roman" w:hAnsi="Times New Roman" w:eastAsia="Times New Roman"/>
        </w:rPr>
        <w:t xml:space="preserve"> Deoarece modelele matematice nu pot citi cuvinte (cum ar fi numele "Era Cyberpunk"), a fost necesară codificarea acestora (Encoding). S-au utilizat două pachete din Sklearn:</w:t>
      </w:r>
    </w:p>
    <w:p>
      <w:pPr>
        <w:pStyle w:val="ListBullet"/>
      </w:pPr>
      <w:r>
        <w:rPr>
          <w:rFonts w:ascii="Times New Roman" w:hAnsi="Times New Roman" w:eastAsia="Times New Roman"/>
        </w:rPr>
      </w:r>
      <w:r>
        <w:rPr>
          <w:rFonts w:ascii="Times New Roman" w:hAnsi="Times New Roman" w:eastAsia="Times New Roman"/>
          <w:b/>
        </w:rPr>
        <w:t>Label Encoding</w:t>
      </w:r>
      <w:r>
        <w:rPr>
          <w:rFonts w:ascii="Times New Roman" w:hAnsi="Times New Roman" w:eastAsia="Times New Roman"/>
        </w:rPr>
        <w:t>: Atribuie pur și simplu un număr unei categorii (ex. Low Profit=1, High Profit=0). Se folosește când ordinea/ierarhia nu contează sau are doar două valori.</w:t>
      </w:r>
    </w:p>
    <w:p>
      <w:pPr>
        <w:pStyle w:val="ListBullet"/>
      </w:pPr>
      <w:r>
        <w:rPr>
          <w:rFonts w:ascii="Times New Roman" w:hAnsi="Times New Roman" w:eastAsia="Times New Roman"/>
        </w:rPr>
      </w:r>
      <w:r>
        <w:rPr>
          <w:rFonts w:ascii="Times New Roman" w:hAnsi="Times New Roman" w:eastAsia="Times New Roman"/>
          <w:b/>
        </w:rPr>
        <w:t>One-Hot Encoding (OHE)</w:t>
      </w:r>
      <w:r>
        <w:rPr>
          <w:rFonts w:ascii="Times New Roman" w:hAnsi="Times New Roman" w:eastAsia="Times New Roman"/>
        </w:rPr>
        <w:t>: Transformă fiecare categorie într-o coloană binară independentă. Dacă am fi lăsat erele istorice ca (1, 2, 3), algoritmul ar fi crezut fals că Era 3 este de 3 ori "mai mare" decât Era 1. OHE previne această iluzie statistică.</w:t>
      </w:r>
    </w:p>
    <w:p>
      <w:pPr>
        <w:ind w:firstLine="567"/>
      </w:pPr>
      <w:r>
        <w:rPr>
          <w:rFonts w:ascii="Times New Roman" w:hAnsi="Times New Roman" w:eastAsia="Times New Roman"/>
        </w:rPr>
        <w:t>&gt;[SCREENSHOT "Codificare 1: Era de Dezvoltare (Label Encoding)"]</w:t>
      </w:r>
    </w:p>
    <w:p>
      <w:pPr>
        <w:ind w:firstLine="567"/>
      </w:pPr>
      <w:r>
        <w:rPr>
          <w:rFonts w:ascii="Times New Roman" w:hAnsi="Times New Roman" w:eastAsia="Times New Roman"/>
        </w:rPr>
        <w:t>&gt;[SCREENSHOT "Codificare 3: One-Hot Encoding (Era)"]</w:t>
      </w:r>
    </w:p>
    <w:p>
      <w:pPr>
        <w:ind w:firstLine="567"/>
      </w:pPr>
      <w:r>
        <w:rPr>
          <w:rFonts w:ascii="Times New Roman" w:hAnsi="Times New Roman" w:eastAsia="Times New Roman"/>
        </w:rPr>
      </w:r>
      <w:r>
        <w:rPr>
          <w:rFonts w:ascii="Times New Roman" w:hAnsi="Times New Roman" w:eastAsia="Times New Roman"/>
          <w:b/>
        </w:rPr>
        <w:t>Interpretarea Datelor:</w:t>
      </w:r>
      <w:r>
        <w:rPr>
          <w:rFonts w:ascii="Times New Roman" w:hAnsi="Times New Roman" w:eastAsia="Times New Roman"/>
        </w:rPr>
      </w:r>
    </w:p>
    <w:p>
      <w:pPr>
        <w:ind w:firstLine="567"/>
      </w:pPr>
      <w:r>
        <w:rPr>
          <w:rFonts w:ascii="Times New Roman" w:hAnsi="Times New Roman" w:eastAsia="Times New Roman"/>
        </w:rPr>
        <w:t xml:space="preserve">Așa cum reiese din tabelele generate, implementarea OHE a spart coloana "Era" în trei coloane separate: </w:t>
      </w:r>
      <w:r>
        <w:rPr>
          <w:rFonts w:ascii="Courier New" w:hAnsi="Courier New"/>
        </w:rPr>
        <w:t>Era_OHE_Cyberpunk</w:t>
      </w:r>
      <w:r>
        <w:rPr>
          <w:rFonts w:ascii="Times New Roman" w:hAnsi="Times New Roman" w:eastAsia="Times New Roman"/>
        </w:rPr>
        <w:t xml:space="preserve">, </w:t>
      </w:r>
      <w:r>
        <w:rPr>
          <w:rFonts w:ascii="Courier New" w:hAnsi="Courier New"/>
        </w:rPr>
        <w:t>Era_OHE_Pre-Witcher</w:t>
      </w:r>
      <w:r>
        <w:rPr>
          <w:rFonts w:ascii="Times New Roman" w:hAnsi="Times New Roman" w:eastAsia="Times New Roman"/>
        </w:rPr>
        <w:t xml:space="preserve">, </w:t>
      </w:r>
      <w:r>
        <w:rPr>
          <w:rFonts w:ascii="Courier New" w:hAnsi="Courier New"/>
        </w:rPr>
        <w:t>Era_OHE_Witcher</w:t>
      </w:r>
      <w:r>
        <w:rPr>
          <w:rFonts w:ascii="Times New Roman" w:hAnsi="Times New Roman" w:eastAsia="Times New Roman"/>
        </w:rPr>
        <w:t>. De exemplu, anul 2015 a primit valoarea 1 strict pe coloana "Witcher" și 0 pe celelalte, permițând algoritmilor de machine learning să coreleze independent performanța financiară cu fiecare dintre aceste perioade istorice, fără a crea relații matematice false între ele.</w:t>
      </w:r>
    </w:p>
    <w:p>
      <w:pPr>
        <w:pStyle w:val="Heading2"/>
      </w:pPr>
      <w:r>
        <w:rPr>
          <w:rFonts w:ascii="Times New Roman" w:hAnsi="Times New Roman" w:eastAsia="Times New Roman"/>
        </w:rPr>
        <w:t>5. Standardizarea și Scalarea Variabilelor</w:t>
      </w:r>
    </w:p>
    <w:p>
      <w:pPr>
        <w:ind w:firstLine="567"/>
      </w:pPr>
      <w:r>
        <w:rPr>
          <w:rFonts w:ascii="Times New Roman" w:hAnsi="Times New Roman" w:eastAsia="Times New Roman"/>
        </w:rPr>
      </w:r>
      <w:r>
        <w:rPr>
          <w:rFonts w:ascii="Times New Roman" w:hAnsi="Times New Roman" w:eastAsia="Times New Roman"/>
          <w:b/>
        </w:rPr>
        <w:t>Concept Teoretic:</w:t>
      </w:r>
      <w:r>
        <w:rPr>
          <w:rFonts w:ascii="Times New Roman" w:hAnsi="Times New Roman" w:eastAsia="Times New Roman"/>
        </w:rPr>
        <w:t xml:space="preserve"> Modelele de regresie sunt sensibile la diferența de magnitudine dintre coloane (un profit de 1.000.000 are o greutate "artificială" mai mare decât o marjă de 10%). Scalarea rezolvă problema:</w:t>
      </w:r>
    </w:p>
    <w:p>
      <w:pPr>
        <w:pStyle w:val="ListBullet"/>
      </w:pPr>
      <w:r>
        <w:rPr>
          <w:rFonts w:ascii="Times New Roman" w:hAnsi="Times New Roman" w:eastAsia="Times New Roman"/>
        </w:rPr>
      </w:r>
      <w:r>
        <w:rPr>
          <w:rFonts w:ascii="Times New Roman" w:hAnsi="Times New Roman" w:eastAsia="Times New Roman"/>
          <w:b/>
        </w:rPr>
        <w:t>StandardScaler</w:t>
      </w:r>
      <w:r>
        <w:rPr>
          <w:rFonts w:ascii="Times New Roman" w:hAnsi="Times New Roman" w:eastAsia="Times New Roman"/>
        </w:rPr>
        <w:t>: Centrează distribuția la media zero (scor Z). Un scor de +1 înseamnă "o deviație standard peste media istorică".</w:t>
      </w:r>
    </w:p>
    <w:p>
      <w:pPr>
        <w:pStyle w:val="ListBullet"/>
      </w:pPr>
      <w:r>
        <w:rPr>
          <w:rFonts w:ascii="Times New Roman" w:hAnsi="Times New Roman" w:eastAsia="Times New Roman"/>
        </w:rPr>
      </w:r>
      <w:r>
        <w:rPr>
          <w:rFonts w:ascii="Times New Roman" w:hAnsi="Times New Roman" w:eastAsia="Times New Roman"/>
          <w:b/>
        </w:rPr>
        <w:t>MinMaxScaler</w:t>
      </w:r>
      <w:r>
        <w:rPr>
          <w:rFonts w:ascii="Times New Roman" w:hAnsi="Times New Roman" w:eastAsia="Times New Roman"/>
        </w:rPr>
        <w:t>: Comprimă toate valorile într-un interval fix între 0 și 1.</w:t>
      </w:r>
    </w:p>
    <w:p>
      <w:pPr>
        <w:pStyle w:val="ListBullet"/>
      </w:pPr>
      <w:r>
        <w:rPr>
          <w:rFonts w:ascii="Times New Roman" w:hAnsi="Times New Roman" w:eastAsia="Times New Roman"/>
        </w:rPr>
      </w:r>
      <w:r>
        <w:rPr>
          <w:rFonts w:ascii="Times New Roman" w:hAnsi="Times New Roman" w:eastAsia="Times New Roman"/>
          <w:b/>
        </w:rPr>
        <w:t>RobustScaler</w:t>
      </w:r>
      <w:r>
        <w:rPr>
          <w:rFonts w:ascii="Times New Roman" w:hAnsi="Times New Roman" w:eastAsia="Times New Roman"/>
        </w:rPr>
        <w:t>: Asemănător cu Standardizarea, însă folosește Mediana și metoda IQR pentru a nu permite anomaliilor (cum e anul 2020) să strice complet calculul mediei globale.</w:t>
      </w:r>
    </w:p>
    <w:p>
      <w:pPr>
        <w:ind w:firstLine="567"/>
      </w:pPr>
      <w:r>
        <w:rPr>
          <w:rFonts w:ascii="Times New Roman" w:hAnsi="Times New Roman" w:eastAsia="Times New Roman"/>
        </w:rPr>
        <w:t>&gt;[SCREENSHOT "StandardScaler"]</w:t>
      </w:r>
    </w:p>
    <w:p>
      <w:pPr>
        <w:ind w:firstLine="567"/>
      </w:pPr>
      <w:r>
        <w:rPr>
          <w:rFonts w:ascii="Times New Roman" w:hAnsi="Times New Roman" w:eastAsia="Times New Roman"/>
        </w:rPr>
        <w:t>&gt;[SCREENSHOT "RobustScaler pentru TOATE variabilele"]</w:t>
      </w:r>
    </w:p>
    <w:p>
      <w:pPr>
        <w:ind w:firstLine="567"/>
      </w:pPr>
      <w:r>
        <w:rPr>
          <w:rFonts w:ascii="Times New Roman" w:hAnsi="Times New Roman" w:eastAsia="Times New Roman"/>
        </w:rPr>
      </w:r>
      <w:r>
        <w:rPr>
          <w:rFonts w:ascii="Times New Roman" w:hAnsi="Times New Roman" w:eastAsia="Times New Roman"/>
          <w:b/>
        </w:rPr>
        <w:t>Interpretarea Datelor:</w:t>
      </w:r>
      <w:r>
        <w:rPr>
          <w:rFonts w:ascii="Times New Roman" w:hAnsi="Times New Roman" w:eastAsia="Times New Roman"/>
        </w:rPr>
      </w:r>
    </w:p>
    <w:p>
      <w:pPr>
        <w:ind w:firstLine="567"/>
      </w:pPr>
      <w:r>
        <w:rPr>
          <w:rFonts w:ascii="Times New Roman" w:hAnsi="Times New Roman" w:eastAsia="Times New Roman"/>
        </w:rPr>
        <w:t xml:space="preserve">Efectul scalării este vizibil clar asupra anului 2020. StandardScaler a transformat profitul masiv de peste un miliard PLN într-un scor Z de </w:t>
      </w:r>
      <w:r>
        <w:rPr>
          <w:rFonts w:ascii="Times New Roman" w:hAnsi="Times New Roman" w:eastAsia="Times New Roman"/>
          <w:b/>
        </w:rPr>
        <w:t>+2.85</w:t>
      </w:r>
      <w:r>
        <w:rPr>
          <w:rFonts w:ascii="Times New Roman" w:hAnsi="Times New Roman" w:eastAsia="Times New Roman"/>
        </w:rPr>
        <w:t xml:space="preserve">. Aceasta ne spune științific că rezultatul acelui an s-a situat cu aproape trei deviații standard deasupra mediei companiei, o performanță aproape imposibilă într-o distribuție statistică normală. Din cauza acestui șoc istoric, am optat pentru utilizarea exclusivă a </w:t>
      </w:r>
      <w:r>
        <w:rPr>
          <w:rFonts w:ascii="Times New Roman" w:hAnsi="Times New Roman" w:eastAsia="Times New Roman"/>
          <w:i/>
        </w:rPr>
        <w:t>RobustScaler</w:t>
      </w:r>
      <w:r>
        <w:rPr>
          <w:rFonts w:ascii="Times New Roman" w:hAnsi="Times New Roman" w:eastAsia="Times New Roman"/>
        </w:rPr>
        <w:t>-ului în antrenarea algoritmilor predictivi care au urmat.</w:t>
      </w:r>
    </w:p>
    <w:p>
      <w:pPr>
        <w:pStyle w:val="Heading2"/>
      </w:pPr>
      <w:r>
        <w:rPr>
          <w:rFonts w:ascii="Times New Roman" w:hAnsi="Times New Roman" w:eastAsia="Times New Roman"/>
        </w:rPr>
        <w:t>6. Eficiența Marketingului (Grupări și Agregări Pandas)</w:t>
      </w:r>
    </w:p>
    <w:p>
      <w:pPr>
        <w:ind w:firstLine="567"/>
      </w:pPr>
      <w:r>
        <w:rPr>
          <w:rFonts w:ascii="Times New Roman" w:hAnsi="Times New Roman" w:eastAsia="Times New Roman"/>
        </w:rPr>
      </w:r>
      <w:r>
        <w:rPr>
          <w:rFonts w:ascii="Times New Roman" w:hAnsi="Times New Roman" w:eastAsia="Times New Roman"/>
          <w:b/>
        </w:rPr>
        <w:t>Concept Teoretic:</w:t>
      </w:r>
      <w:r>
        <w:rPr>
          <w:rFonts w:ascii="Times New Roman" w:hAnsi="Times New Roman" w:eastAsia="Times New Roman"/>
        </w:rPr>
        <w:t xml:space="preserve"> Analiza descriptivă avansată se bazează pe funcțiile pachetului Pandas: </w:t>
      </w:r>
      <w:r>
        <w:rPr>
          <w:rFonts w:ascii="Courier New" w:hAnsi="Courier New"/>
        </w:rPr>
        <w:t>groupby</w:t>
      </w:r>
      <w:r>
        <w:rPr>
          <w:rFonts w:ascii="Times New Roman" w:hAnsi="Times New Roman" w:eastAsia="Times New Roman"/>
        </w:rPr>
        <w:t xml:space="preserve"> (care grupează tabelul pe categorii comune), funcțiile de agregare (</w:t>
      </w:r>
      <w:r>
        <w:rPr>
          <w:rFonts w:ascii="Courier New" w:hAnsi="Courier New"/>
        </w:rPr>
        <w:t>mean</w:t>
      </w:r>
      <w:r>
        <w:rPr>
          <w:rFonts w:ascii="Times New Roman" w:hAnsi="Times New Roman" w:eastAsia="Times New Roman"/>
        </w:rPr>
        <w:t xml:space="preserve">, </w:t>
      </w:r>
      <w:r>
        <w:rPr>
          <w:rFonts w:ascii="Courier New" w:hAnsi="Courier New"/>
        </w:rPr>
        <w:t>max</w:t>
      </w:r>
      <w:r>
        <w:rPr>
          <w:rFonts w:ascii="Times New Roman" w:hAnsi="Times New Roman" w:eastAsia="Times New Roman"/>
        </w:rPr>
        <w:t xml:space="preserve">, </w:t>
      </w:r>
      <w:r>
        <w:rPr>
          <w:rFonts w:ascii="Courier New" w:hAnsi="Courier New"/>
        </w:rPr>
        <w:t>sum</w:t>
      </w:r>
      <w:r>
        <w:rPr>
          <w:rFonts w:ascii="Times New Roman" w:hAnsi="Times New Roman" w:eastAsia="Times New Roman"/>
        </w:rPr>
        <w:t xml:space="preserve">) și </w:t>
      </w:r>
      <w:r>
        <w:rPr>
          <w:rFonts w:ascii="Courier New" w:hAnsi="Courier New"/>
        </w:rPr>
        <w:t>pivot_table</w:t>
      </w:r>
      <w:r>
        <w:rPr>
          <w:rFonts w:ascii="Times New Roman" w:hAnsi="Times New Roman" w:eastAsia="Times New Roman"/>
        </w:rPr>
        <w:t xml:space="preserve"> (care creează structuri multidimensionale pentru a analiza două sau mai multe variabile simultan).</w:t>
      </w:r>
    </w:p>
    <w:p>
      <w:pPr>
        <w:ind w:firstLine="567"/>
      </w:pPr>
      <w:r>
        <w:rPr>
          <w:rFonts w:ascii="Times New Roman" w:hAnsi="Times New Roman" w:eastAsia="Times New Roman"/>
        </w:rPr>
        <w:t>&gt;[SCREENSHOT "Grupare 1: Era Witcher vs. Era Cyberpunk"]</w:t>
      </w:r>
    </w:p>
    <w:p>
      <w:pPr>
        <w:ind w:firstLine="567"/>
      </w:pPr>
      <w:r>
        <w:rPr>
          <w:rFonts w:ascii="Times New Roman" w:hAnsi="Times New Roman" w:eastAsia="Times New Roman"/>
        </w:rPr>
        <w:t>&gt;[SCREENSHOT "Pivot: Eficiența Marketingului pe Eră"]</w:t>
      </w:r>
    </w:p>
    <w:p>
      <w:pPr>
        <w:ind w:firstLine="567"/>
      </w:pPr>
      <w:r>
        <w:rPr>
          <w:rFonts w:ascii="Times New Roman" w:hAnsi="Times New Roman" w:eastAsia="Times New Roman"/>
        </w:rPr>
      </w:r>
      <w:r>
        <w:rPr>
          <w:rFonts w:ascii="Times New Roman" w:hAnsi="Times New Roman" w:eastAsia="Times New Roman"/>
          <w:b/>
        </w:rPr>
        <w:t>Interpretarea Datelor:</w:t>
      </w:r>
      <w:r>
        <w:rPr>
          <w:rFonts w:ascii="Times New Roman" w:hAnsi="Times New Roman" w:eastAsia="Times New Roman"/>
        </w:rPr>
      </w:r>
    </w:p>
    <w:p>
      <w:pPr>
        <w:ind w:firstLine="567"/>
      </w:pPr>
      <w:r>
        <w:rPr>
          <w:rFonts w:ascii="Times New Roman" w:hAnsi="Times New Roman" w:eastAsia="Times New Roman"/>
        </w:rPr>
        <w:t xml:space="preserve">Agregările </w:t>
      </w:r>
      <w:r>
        <w:rPr>
          <w:rFonts w:ascii="Courier New" w:hAnsi="Courier New"/>
        </w:rPr>
        <w:t>groupby</w:t>
      </w:r>
      <w:r>
        <w:rPr>
          <w:rFonts w:ascii="Times New Roman" w:hAnsi="Times New Roman" w:eastAsia="Times New Roman"/>
        </w:rPr>
        <w:t xml:space="preserve"> dovedesc maturizarea rapidă a studioului. Profitul net mediu anual a evoluat de la nivelul marginal de 13,633 PLN în perioada pre-Witcher, la 215,572 PLN în era "Witcher", și a explodat la o medie istorică de 542,669 PLN în era "Cyberpunk" (2020-2025).</w:t>
      </w:r>
    </w:p>
    <w:p>
      <w:pPr>
        <w:ind w:firstLine="567"/>
      </w:pPr>
      <w:r>
        <w:rPr>
          <w:rFonts w:ascii="Times New Roman" w:hAnsi="Times New Roman" w:eastAsia="Times New Roman"/>
        </w:rPr>
        <w:t>Tabelele Pivot adaugă un strat superior de informație: asocierea unui buget de marketing maxim ("High") în perioada modernă s-a tradus printr-un profit net mediu de 547,858 PLN, de peste două ori mai mare decât randamentul marketingului similar din epoca "Witcher". Astfel, Pandas demonstrează că brandul a învățat să convertească exponențial mai bine reclama în vânzări efective.</w:t>
      </w:r>
    </w:p>
    <w:p>
      <w:pPr>
        <w:pStyle w:val="Heading2"/>
      </w:pPr>
      <w:r>
        <w:rPr>
          <w:rFonts w:ascii="Times New Roman" w:hAnsi="Times New Roman" w:eastAsia="Times New Roman"/>
        </w:rPr>
        <w:t>7. Predicția Performanței (Regresia Logistică)</w:t>
      </w:r>
    </w:p>
    <w:p>
      <w:pPr>
        <w:ind w:firstLine="567"/>
      </w:pPr>
      <w:r>
        <w:rPr>
          <w:rFonts w:ascii="Times New Roman" w:hAnsi="Times New Roman" w:eastAsia="Times New Roman"/>
        </w:rPr>
      </w:r>
      <w:r>
        <w:rPr>
          <w:rFonts w:ascii="Times New Roman" w:hAnsi="Times New Roman" w:eastAsia="Times New Roman"/>
          <w:b/>
        </w:rPr>
        <w:t>Concept Teoretic:</w:t>
      </w:r>
      <w:r>
        <w:rPr>
          <w:rFonts w:ascii="Times New Roman" w:hAnsi="Times New Roman" w:eastAsia="Times New Roman"/>
        </w:rPr>
        <w:t xml:space="preserve"> Regresia Logistică face parte din categoria </w:t>
      </w:r>
      <w:r>
        <w:rPr>
          <w:rFonts w:ascii="Times New Roman" w:hAnsi="Times New Roman" w:eastAsia="Times New Roman"/>
          <w:i/>
        </w:rPr>
        <w:t>Machine Learning Supervizat</w:t>
      </w:r>
      <w:r>
        <w:rPr>
          <w:rFonts w:ascii="Times New Roman" w:hAnsi="Times New Roman" w:eastAsia="Times New Roman"/>
        </w:rPr>
        <w:t xml:space="preserve"> (învățare cu profesor). Algoritmul primește variabilele independente (Activele și Bugetul de Marketing) și rezultatele corecte din trecut (A fost anul profitabil sau nu? Da=1 / Nu=0). Modelul învață tiparele de succes pentru a oferi ulterior predicții și </w:t>
      </w:r>
      <w:r>
        <w:rPr>
          <w:rFonts w:ascii="Times New Roman" w:hAnsi="Times New Roman" w:eastAsia="Times New Roman"/>
          <w:b/>
        </w:rPr>
        <w:t>probabilități procentuale</w:t>
      </w:r>
      <w:r>
        <w:rPr>
          <w:rFonts w:ascii="Times New Roman" w:hAnsi="Times New Roman" w:eastAsia="Times New Roman"/>
        </w:rPr>
        <w:t xml:space="preserve"> pentru fiecare an.</w:t>
      </w:r>
    </w:p>
    <w:p>
      <w:pPr>
        <w:ind w:firstLine="567"/>
      </w:pPr>
      <w:r>
        <w:rPr>
          <w:rFonts w:ascii="Times New Roman" w:hAnsi="Times New Roman" w:eastAsia="Times New Roman"/>
        </w:rPr>
        <w:t>&gt;[SCREENSHOT "Rezultatele Modelului de regresie logistica" (Acuratețe, Matrice, Coeficienți)]</w:t>
      </w:r>
    </w:p>
    <w:p>
      <w:pPr>
        <w:ind w:firstLine="567"/>
      </w:pPr>
      <w:r>
        <w:rPr>
          <w:rFonts w:ascii="Times New Roman" w:hAnsi="Times New Roman" w:eastAsia="Times New Roman"/>
        </w:rPr>
        <w:t>&gt;[SCREENSHOT "Tabel Predicții vs. Realitate" sau graficul de probabilitate de pe ecran]</w:t>
      </w:r>
    </w:p>
    <w:p>
      <w:pPr>
        <w:ind w:firstLine="567"/>
      </w:pPr>
      <w:r>
        <w:rPr>
          <w:rFonts w:ascii="Times New Roman" w:hAnsi="Times New Roman" w:eastAsia="Times New Roman"/>
        </w:rPr>
      </w:r>
      <w:r>
        <w:rPr>
          <w:rFonts w:ascii="Times New Roman" w:hAnsi="Times New Roman" w:eastAsia="Times New Roman"/>
          <w:b/>
        </w:rPr>
        <w:t>Interpretarea Datelor:</w:t>
      </w:r>
      <w:r>
        <w:rPr>
          <w:rFonts w:ascii="Times New Roman" w:hAnsi="Times New Roman" w:eastAsia="Times New Roman"/>
        </w:rPr>
      </w:r>
    </w:p>
    <w:p>
      <w:pPr>
        <w:ind w:firstLine="567"/>
      </w:pPr>
      <w:r>
        <w:rPr>
          <w:rFonts w:ascii="Times New Roman" w:hAnsi="Times New Roman" w:eastAsia="Times New Roman"/>
        </w:rPr>
        <w:t xml:space="preserve">Algoritmul a atins o acuratețe remarcabilă de </w:t>
      </w:r>
      <w:r>
        <w:rPr>
          <w:rFonts w:ascii="Times New Roman" w:hAnsi="Times New Roman" w:eastAsia="Times New Roman"/>
          <w:b/>
        </w:rPr>
        <w:t>81.25%</w:t>
      </w:r>
      <w:r>
        <w:rPr>
          <w:rFonts w:ascii="Times New Roman" w:hAnsi="Times New Roman" w:eastAsia="Times New Roman"/>
        </w:rPr>
        <w:t xml:space="preserve"> în diferențierea anilor slabi de cei performanți. Analizând probabilitățile de pe grafic, modelul a calculat o certitudine de </w:t>
      </w:r>
      <w:r>
        <w:rPr>
          <w:rFonts w:ascii="Times New Roman" w:hAnsi="Times New Roman" w:eastAsia="Times New Roman"/>
          <w:b/>
        </w:rPr>
        <w:t>96.4%</w:t>
      </w:r>
      <w:r>
        <w:rPr>
          <w:rFonts w:ascii="Times New Roman" w:hAnsi="Times New Roman" w:eastAsia="Times New Roman"/>
        </w:rPr>
        <w:t xml:space="preserve"> ca anul 2020 să fie un an de vârf. Deși noi știam deja istoria lansării Cyberpunk, este uluitor faptul că algoritmul de Inteligență Artificială a dedus inevitabilitatea succesului analizând </w:t>
      </w:r>
      <w:r>
        <w:rPr>
          <w:rFonts w:ascii="Times New Roman" w:hAnsi="Times New Roman" w:eastAsia="Times New Roman"/>
          <w:i/>
        </w:rPr>
        <w:t>exclusiv</w:t>
      </w:r>
      <w:r>
        <w:rPr>
          <w:rFonts w:ascii="Times New Roman" w:hAnsi="Times New Roman" w:eastAsia="Times New Roman"/>
        </w:rPr>
        <w:t xml:space="preserve"> suma masivă de bani alocată costurilor de marketing și capitalul de active acumulat înainte de lansare.</w:t>
      </w:r>
    </w:p>
    <w:p>
      <w:pPr>
        <w:pStyle w:val="Heading2"/>
      </w:pPr>
      <w:r>
        <w:rPr>
          <w:rFonts w:ascii="Times New Roman" w:hAnsi="Times New Roman" w:eastAsia="Times New Roman"/>
        </w:rPr>
        <w:t>8. Analiza Econometrică și Relații Cauzale (OLS)</w:t>
      </w:r>
    </w:p>
    <w:p>
      <w:pPr>
        <w:ind w:firstLine="567"/>
      </w:pPr>
      <w:r>
        <w:rPr>
          <w:rFonts w:ascii="Times New Roman" w:hAnsi="Times New Roman" w:eastAsia="Times New Roman"/>
        </w:rPr>
      </w:r>
      <w:r>
        <w:rPr>
          <w:rFonts w:ascii="Times New Roman" w:hAnsi="Times New Roman" w:eastAsia="Times New Roman"/>
          <w:b/>
        </w:rPr>
        <w:t>Concept Teoretic:</w:t>
      </w:r>
      <w:r>
        <w:rPr>
          <w:rFonts w:ascii="Times New Roman" w:hAnsi="Times New Roman" w:eastAsia="Times New Roman"/>
        </w:rPr>
        <w:t xml:space="preserve"> Ordinary Least Squares (OLS) este o metodă econometrică tradițională. Aceasta trasează o regresie liniară, calculând modul exact în care fluctuația unei variabile dependente (Profit Net) este dictată de schimbarea variabilelor independente (Venituri, Marketing). Conceptele cheie urmărite sunt:</w:t>
      </w:r>
    </w:p>
    <w:p>
      <w:pPr>
        <w:pStyle w:val="ListBullet"/>
      </w:pPr>
      <w:r>
        <w:rPr>
          <w:rFonts w:ascii="Times New Roman" w:hAnsi="Times New Roman" w:eastAsia="Times New Roman"/>
        </w:rPr>
      </w:r>
      <w:r>
        <w:rPr>
          <w:rFonts w:ascii="Times New Roman" w:hAnsi="Times New Roman" w:eastAsia="Times New Roman"/>
          <w:b/>
        </w:rPr>
        <w:t>R^2 (R-squared)</w:t>
      </w:r>
      <w:r>
        <w:rPr>
          <w:rFonts w:ascii="Times New Roman" w:hAnsi="Times New Roman" w:eastAsia="Times New Roman"/>
        </w:rPr>
        <w:t>: Coeficientul de determinare. Dacă este 1.0 (100%), modelul prezice profitul perfect.</w:t>
      </w:r>
    </w:p>
    <w:p>
      <w:pPr>
        <w:pStyle w:val="ListBullet"/>
      </w:pPr>
      <w:r>
        <w:rPr>
          <w:rFonts w:ascii="Times New Roman" w:hAnsi="Times New Roman" w:eastAsia="Times New Roman"/>
        </w:rPr>
      </w:r>
      <w:r>
        <w:rPr>
          <w:rFonts w:ascii="Times New Roman" w:hAnsi="Times New Roman" w:eastAsia="Times New Roman"/>
          <w:b/>
        </w:rPr>
        <w:t>P-value (Probabilitatea)</w:t>
      </w:r>
      <w:r>
        <w:rPr>
          <w:rFonts w:ascii="Times New Roman" w:hAnsi="Times New Roman" w:eastAsia="Times New Roman"/>
        </w:rPr>
        <w:t>: Arată dacă relația descoperită este o coincidență. Dacă P &lt; 0.05, relația este "semnificativă statistic" și o putem lua ca adevăr științific.</w:t>
      </w:r>
    </w:p>
    <w:p>
      <w:pPr>
        <w:ind w:firstLine="567"/>
      </w:pPr>
      <w:r>
        <w:rPr>
          <w:rFonts w:ascii="Times New Roman" w:hAnsi="Times New Roman" w:eastAsia="Times New Roman"/>
        </w:rPr>
        <w:t>&gt;[SCREENSHOT "Sumar Model OLS COMPLET" (Tabelul din Statsmodels)]</w:t>
      </w:r>
    </w:p>
    <w:p>
      <w:pPr>
        <w:ind w:firstLine="567"/>
      </w:pPr>
      <w:r>
        <w:rPr>
          <w:rFonts w:ascii="Times New Roman" w:hAnsi="Times New Roman" w:eastAsia="Times New Roman"/>
        </w:rPr>
        <w:t>&gt;[SCREENSHOT "Profit Real vs. Predicție" &amp; "Reziduuri vs. Valori Estimate" (Graficele cu linii/puncte)]</w:t>
      </w:r>
    </w:p>
    <w:p>
      <w:pPr>
        <w:ind w:firstLine="567"/>
      </w:pPr>
      <w:r>
        <w:rPr>
          <w:rFonts w:ascii="Times New Roman" w:hAnsi="Times New Roman" w:eastAsia="Times New Roman"/>
        </w:rPr>
      </w:r>
      <w:r>
        <w:rPr>
          <w:rFonts w:ascii="Times New Roman" w:hAnsi="Times New Roman" w:eastAsia="Times New Roman"/>
          <w:b/>
        </w:rPr>
        <w:t>Interpretarea Datelor:</w:t>
      </w:r>
      <w:r>
        <w:rPr>
          <w:rFonts w:ascii="Times New Roman" w:hAnsi="Times New Roman" w:eastAsia="Times New Roman"/>
        </w:rPr>
      </w:r>
    </w:p>
    <w:p>
      <w:pPr>
        <w:ind w:firstLine="567"/>
      </w:pPr>
      <w:r>
        <w:rPr>
          <w:rFonts w:ascii="Times New Roman" w:hAnsi="Times New Roman" w:eastAsia="Times New Roman"/>
        </w:rPr>
        <w:t xml:space="preserve">Modelul OLS implementat via </w:t>
      </w:r>
      <w:r>
        <w:rPr>
          <w:rFonts w:ascii="Courier New" w:hAnsi="Courier New"/>
        </w:rPr>
        <w:t>statsmodels</w:t>
      </w:r>
      <w:r>
        <w:rPr>
          <w:rFonts w:ascii="Times New Roman" w:hAnsi="Times New Roman" w:eastAsia="Times New Roman"/>
        </w:rPr>
        <w:t xml:space="preserve"> a fost un real succes. A obținut un R^2 de </w:t>
      </w:r>
      <w:r>
        <w:rPr>
          <w:rFonts w:ascii="Times New Roman" w:hAnsi="Times New Roman" w:eastAsia="Times New Roman"/>
          <w:b/>
        </w:rPr>
        <w:t>0.951</w:t>
      </w:r>
      <w:r>
        <w:rPr>
          <w:rFonts w:ascii="Times New Roman" w:hAnsi="Times New Roman" w:eastAsia="Times New Roman"/>
        </w:rPr>
        <w:t>, indicând o potrivire absolută: 95.1% din toată variabilitatea profitului net CD Projekt este explicată direct, matematic, doar de venituri și cheltuielile cu marketingul.</w:t>
      </w:r>
    </w:p>
    <w:p>
      <w:pPr>
        <w:ind w:firstLine="567"/>
      </w:pPr>
      <w:r>
        <w:rPr>
          <w:rFonts w:ascii="Times New Roman" w:hAnsi="Times New Roman" w:eastAsia="Times New Roman"/>
        </w:rPr>
        <w:t xml:space="preserve">Testul de ipoteză a generat o valoare P-value de 0.000 pentru </w:t>
      </w:r>
      <w:r>
        <w:rPr>
          <w:rFonts w:ascii="Courier New" w:hAnsi="Courier New"/>
        </w:rPr>
        <w:t>Revenue</w:t>
      </w:r>
      <w:r>
        <w:rPr>
          <w:rFonts w:ascii="Times New Roman" w:hAnsi="Times New Roman" w:eastAsia="Times New Roman"/>
        </w:rPr>
        <w:t>, demonstrând o relație statistic semnificativă pozitivă. Graficul de "Predicție vs. Realitate" subliniază acuratețea modelului OLS: linia galbenă a predicției urmărește aproape perfect linia albastră a istoriei reale, distanțându-se vizibil (reziduuri mari) doar în anii șocurilor de piață, unde dinamica lansărilor AAA nu mai răspunde regulilor economiei liniare.</w:t>
      </w:r>
    </w:p>
    <w:p>
      <w:pPr>
        <w:pStyle w:val="Heading2"/>
      </w:pPr>
      <w:r>
        <w:rPr>
          <w:rFonts w:ascii="Times New Roman" w:hAnsi="Times New Roman" w:eastAsia="Times New Roman"/>
        </w:rPr>
        <w:t>9. Segmentarea Strategică prin Inteligență Artificială (K-Means)</w:t>
      </w:r>
    </w:p>
    <w:p>
      <w:pPr>
        <w:ind w:firstLine="567"/>
      </w:pPr>
      <w:r>
        <w:rPr>
          <w:rFonts w:ascii="Times New Roman" w:hAnsi="Times New Roman" w:eastAsia="Times New Roman"/>
        </w:rPr>
      </w:r>
      <w:r>
        <w:rPr>
          <w:rFonts w:ascii="Times New Roman" w:hAnsi="Times New Roman" w:eastAsia="Times New Roman"/>
          <w:b/>
        </w:rPr>
        <w:t>Concept Teoretic:</w:t>
      </w:r>
      <w:r>
        <w:rPr>
          <w:rFonts w:ascii="Times New Roman" w:hAnsi="Times New Roman" w:eastAsia="Times New Roman"/>
        </w:rPr>
        <w:t xml:space="preserve"> K-Means face parte din categoria </w:t>
      </w:r>
      <w:r>
        <w:rPr>
          <w:rFonts w:ascii="Times New Roman" w:hAnsi="Times New Roman" w:eastAsia="Times New Roman"/>
          <w:i/>
        </w:rPr>
        <w:t>Machine Learning Nesupervizat</w:t>
      </w:r>
      <w:r>
        <w:rPr>
          <w:rFonts w:ascii="Times New Roman" w:hAnsi="Times New Roman" w:eastAsia="Times New Roman"/>
        </w:rPr>
        <w:t xml:space="preserve"> (învățare fără profesor). Algoritmul primește doar tabelele financiare brute, fără ani și fără explicații istorice, fiind forțat să găsească singur "centroizi" (puncte de greutate) în jurul cărora se grupează date cu profile similare, formând clustere. S-a utilizat </w:t>
      </w:r>
      <w:r>
        <w:rPr>
          <w:rFonts w:ascii="Times New Roman" w:hAnsi="Times New Roman" w:eastAsia="Times New Roman"/>
          <w:i/>
        </w:rPr>
        <w:t>Metoda Elbow</w:t>
      </w:r>
      <w:r>
        <w:rPr>
          <w:rFonts w:ascii="Times New Roman" w:hAnsi="Times New Roman" w:eastAsia="Times New Roman"/>
        </w:rPr>
        <w:t xml:space="preserve"> pentru a măsura momentul în care inerția (eroarea) se stabilizează, validând 3 ca număr optim de clustere.</w:t>
      </w:r>
    </w:p>
    <w:p>
      <w:pPr>
        <w:ind w:firstLine="567"/>
      </w:pPr>
      <w:r>
        <w:rPr>
          <w:rFonts w:ascii="Times New Roman" w:hAnsi="Times New Roman" w:eastAsia="Times New Roman"/>
        </w:rPr>
        <w:t>&gt;[SCREENSHOT "Metoda Elbow — Determinarea k Optim"]</w:t>
      </w:r>
    </w:p>
    <w:p>
      <w:pPr>
        <w:ind w:firstLine="567"/>
      </w:pPr>
      <w:r>
        <w:rPr>
          <w:rFonts w:ascii="Times New Roman" w:hAnsi="Times New Roman" w:eastAsia="Times New Roman"/>
        </w:rPr>
        <w:t>&gt;[SCREENSHOT "Rezultatele Clusterizării" (Tabele/Graficul cu Scatter Plot)]</w:t>
      </w:r>
    </w:p>
    <w:p>
      <w:pPr>
        <w:ind w:firstLine="567"/>
      </w:pPr>
      <w:r>
        <w:rPr>
          <w:rFonts w:ascii="Times New Roman" w:hAnsi="Times New Roman" w:eastAsia="Times New Roman"/>
        </w:rPr>
        <w:t>&gt;[SCREENSHOT "Detalii pe Clustere"]</w:t>
      </w:r>
    </w:p>
    <w:p>
      <w:pPr>
        <w:ind w:firstLine="567"/>
      </w:pPr>
      <w:r>
        <w:rPr>
          <w:rFonts w:ascii="Times New Roman" w:hAnsi="Times New Roman" w:eastAsia="Times New Roman"/>
        </w:rPr>
      </w:r>
      <w:r>
        <w:rPr>
          <w:rFonts w:ascii="Times New Roman" w:hAnsi="Times New Roman" w:eastAsia="Times New Roman"/>
          <w:b/>
        </w:rPr>
        <w:t>Interpretarea Datelor:</w:t>
      </w:r>
      <w:r>
        <w:rPr>
          <w:rFonts w:ascii="Times New Roman" w:hAnsi="Times New Roman" w:eastAsia="Times New Roman"/>
        </w:rPr>
      </w:r>
    </w:p>
    <w:p>
      <w:pPr>
        <w:ind w:firstLine="567"/>
      </w:pPr>
      <w:r>
        <w:rPr>
          <w:rFonts w:ascii="Times New Roman" w:hAnsi="Times New Roman" w:eastAsia="Times New Roman"/>
        </w:rPr>
        <w:t>Fără absolut nicio intervenție umană, inteligența artificială a reconstruit perfect fazele istorice ale corporației poloneze:</w:t>
      </w:r>
    </w:p>
    <w:p>
      <w:pPr>
        <w:pStyle w:val="ListBullet"/>
      </w:pPr>
      <w:r>
        <w:rPr>
          <w:rFonts w:ascii="Times New Roman" w:hAnsi="Times New Roman" w:eastAsia="Times New Roman"/>
        </w:rPr>
      </w:r>
      <w:r>
        <w:rPr>
          <w:rFonts w:ascii="Times New Roman" w:hAnsi="Times New Roman" w:eastAsia="Times New Roman"/>
          <w:b/>
        </w:rPr>
        <w:t>Clusterul 0 (2010–2019): "Construcția"</w:t>
      </w:r>
      <w:r>
        <w:rPr>
          <w:rFonts w:ascii="Times New Roman" w:hAnsi="Times New Roman" w:eastAsia="Times New Roman"/>
        </w:rPr>
        <w:t>. A izolat deceniul inițial, recunoscând anii cu profituri și active mai modeste, dedicate finanțării și lansării francizei Witcher.</w:t>
      </w:r>
    </w:p>
    <w:p>
      <w:pPr>
        <w:pStyle w:val="ListBullet"/>
      </w:pPr>
      <w:r>
        <w:rPr>
          <w:rFonts w:ascii="Times New Roman" w:hAnsi="Times New Roman" w:eastAsia="Times New Roman"/>
        </w:rPr>
      </w:r>
      <w:r>
        <w:rPr>
          <w:rFonts w:ascii="Times New Roman" w:hAnsi="Times New Roman" w:eastAsia="Times New Roman"/>
          <w:b/>
        </w:rPr>
        <w:t>Clusterul 2 (2021–2025): "Sustenabilitatea Post-Lansare"</w:t>
      </w:r>
      <w:r>
        <w:rPr>
          <w:rFonts w:ascii="Times New Roman" w:hAnsi="Times New Roman" w:eastAsia="Times New Roman"/>
        </w:rPr>
        <w:t>. A grupat anii recenți pe un profil unic: active (Assets) imense și profituri susținute ("Long-tail sales"), confirmând reziliența afacerii după episodul Cyberpunk.</w:t>
      </w:r>
    </w:p>
    <w:p>
      <w:pPr>
        <w:pStyle w:val="ListBullet"/>
      </w:pPr>
      <w:r>
        <w:rPr>
          <w:rFonts w:ascii="Times New Roman" w:hAnsi="Times New Roman" w:eastAsia="Times New Roman"/>
        </w:rPr>
      </w:r>
      <w:r>
        <w:rPr>
          <w:rFonts w:ascii="Times New Roman" w:hAnsi="Times New Roman" w:eastAsia="Times New Roman"/>
          <w:b/>
        </w:rPr>
        <w:t>Clusterul 1 (Anul 2020): "Anomalia Singulară"</w:t>
      </w:r>
      <w:r>
        <w:rPr>
          <w:rFonts w:ascii="Times New Roman" w:hAnsi="Times New Roman" w:eastAsia="Times New Roman"/>
        </w:rPr>
        <w:t>. Așa cum s-a determinat și la curățarea datelor cu IQR, algoritmul K-Means a izolat anul 2020 într-un cluster din care face parte el singur, determinând matematic că investițiile de marketing și explozia de profit din acel an sunt irepetabile și imposibil de asociat cu oricare alt moment din trecutul sau viitorul apropiat al studioului.</w:t>
      </w:r>
    </w:p>
    <w:p>
      <w:pPr>
        <w:ind w:firstLine="567"/>
      </w:pPr>
      <w:r>
        <w:rPr>
          <w:rFonts w:ascii="Times New Roman" w:hAnsi="Times New Roman" w:eastAsia="Times New Roman"/>
        </w:rPr>
        <w:t>Segmentarea nesupervizată reprezintă dovada absolută a valorii acestui proiect: algoritmii de date pot decripta și valida independent strategia și istoria reală a oricărei afaceri.</w:t>
      </w:r>
    </w:p>
    <w:sectPr w:rsidR="00FC693F" w:rsidRPr="0006063C" w:rsidSect="00034616">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jc w:val="both"/>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360"/>
      <w:jc w:val="center"/>
      <w:outlineLvl w:val="0"/>
    </w:pPr>
    <w:rPr>
      <w:rFonts w:asciiTheme="majorHAnsi" w:eastAsiaTheme="majorEastAsia" w:hAnsiTheme="majorHAnsi" w:cstheme="majorBidi" w:ascii="Times New Roman" w:hAnsi="Times New Roman"/>
      <w:b/>
      <w:bCs/>
      <w:sz w:val="32"/>
      <w:szCs w:val="28"/>
    </w:rPr>
  </w:style>
  <w:style w:type="paragraph" w:styleId="Heading2">
    <w:name w:val="heading 2"/>
    <w:basedOn w:val="Normal"/>
    <w:next w:val="Normal"/>
    <w:link w:val="Heading2Char"/>
    <w:uiPriority w:val="9"/>
    <w:unhideWhenUsed/>
    <w:qFormat/>
    <w:rsid w:val="00FC693F"/>
    <w:pPr>
      <w:keepNext/>
      <w:keepLines/>
      <w:spacing w:before="360" w:after="240"/>
      <w:jc w:val="left"/>
      <w:outlineLvl w:val="1"/>
    </w:pPr>
    <w:rPr>
      <w:rFonts w:asciiTheme="majorHAnsi" w:eastAsiaTheme="majorEastAsia" w:hAnsiTheme="majorHAnsi" w:cstheme="majorBidi" w:ascii="Times New Roman" w:hAnsi="Times New Roman"/>
      <w:b/>
      <w:bCs/>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Times New Roman" w:hAnsi="Times New Roman"/>
      <w:b/>
      <w:bCs/>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