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</w:t>
      </w:r>
    </w:p>
    <w:p>
      <w:pPr>
        <w:pStyle w:val="Heading2"/>
        <w:jc w:val="center"/>
      </w:pPr>
      <w:r>
        <w:t>AWS Well-Architected Review</w:t>
      </w:r>
    </w:p>
    <w:p/>
    <w:p/>
    <w:p>
      <w:r>
        <w:rPr>
          <w:b/>
        </w:rPr>
        <w:t xml:space="preserve">Cuenta AWS: </w:t>
      </w:r>
      <w:r>
        <w:t>854397933378</w:t>
      </w:r>
    </w:p>
    <w:p>
      <w:r>
        <w:rPr>
          <w:b/>
        </w:rPr>
        <w:t xml:space="preserve">Fecha de Evaluación: </w:t>
      </w:r>
      <w:r>
        <w:t>2026-10-23T16:27:04.810882Z</w:t>
      </w:r>
    </w:p>
    <w:p>
      <w:r>
        <w:rPr>
          <w:b/>
        </w:rPr>
        <w:t xml:space="preserve">Fecha de Generación: </w:t>
      </w:r>
      <w:r>
        <w:t>2026-10-23 16:32:15 UTC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reporte presenta un análisis estratégico de la evaluación Well-Architected realizada para la cuenta AWS N/A. Se evaluaron 1 pilares con un total de 63 mejores prácticas.</w:t>
      </w:r>
    </w:p>
    <w:p/>
    <w:p>
      <w:pPr>
        <w:pStyle w:val="Heading2"/>
      </w:pPr>
      <w:r>
        <w:t>Hallazgos Clave</w:t>
      </w:r>
    </w:p>
    <w:p>
      <w:r>
        <w:rPr>
          <w:b/>
        </w:rPr>
        <w:t xml:space="preserve">• Score Global: </w:t>
      </w:r>
      <w:r>
        <w:t>25.4%</w:t>
      </w:r>
    </w:p>
    <w:p>
      <w:r>
        <w:rPr>
          <w:b/>
        </w:rPr>
        <w:t xml:space="preserve">• Prácticas Conformes: </w:t>
      </w:r>
      <w:r>
        <w:t>9 de 63 (14.3%)</w:t>
      </w:r>
    </w:p>
    <w:p>
      <w:r>
        <w:rPr>
          <w:b/>
        </w:rPr>
        <w:t xml:space="preserve">• Prácticas No Conformes: </w:t>
      </w:r>
      <w:r>
        <w:t>40 de 63 (63.5%)</w:t>
      </w:r>
    </w:p>
    <w:p>
      <w:r>
        <w:rPr>
          <w:b/>
        </w:rPr>
        <w:t xml:space="preserve">• Prácticas Pendientes de Revisión: </w:t>
      </w:r>
      <w:r>
        <w:t>14 de 63 (22.2%)</w:t>
      </w:r>
    </w:p>
    <w:p/>
    <w:p>
      <w:pPr>
        <w:pStyle w:val="Heading2"/>
      </w:pPr>
      <w:r>
        <w:t>Scores por Pilar</w:t>
      </w:r>
    </w:p>
    <w:p>
      <w:r>
        <w:rPr>
          <w:b/>
        </w:rPr>
        <w:t xml:space="preserve">• Seguridad: </w:t>
      </w:r>
      <w:r>
        <w:t>25.4/100</w:t>
      </w:r>
      <w:r>
        <w:t xml:space="preserve"> - Requiere acción inmediata</w:t>
      </w:r>
    </w:p>
    <w:p>
      <w:r>
        <w:br w:type="page"/>
      </w:r>
    </w:p>
    <w:p>
      <w:pPr>
        <w:pStyle w:val="Heading1"/>
      </w:pPr>
      <w:r>
        <w:t>Análisis: Seguridad</w:t>
      </w:r>
    </w:p>
    <w:p>
      <w:r>
        <w:t>La seguridad es fundamental para proteger la información, sistemas y activos de su organización.</w:t>
      </w:r>
    </w:p>
    <w:p/>
    <w:p>
      <w:r>
        <w:rPr>
          <w:b/>
        </w:rPr>
        <w:t xml:space="preserve">Score del Pilar: </w:t>
      </w:r>
      <w:r>
        <w:t>25.4/100</w:t>
      </w:r>
    </w:p>
    <w:p/>
    <w:p>
      <w:pPr>
        <w:pStyle w:val="Heading2"/>
      </w:pPr>
      <w:r>
        <w:t>Hallazgos Principales</w:t>
      </w:r>
    </w:p>
    <w:p>
      <w:r>
        <w:t>Se identificaron 40 áreas que requieren atención:</w:t>
      </w:r>
    </w:p>
    <w:p>
      <w:pPr>
        <w:pStyle w:val="ListBullet"/>
      </w:pPr>
      <w:r>
        <w:rPr>
          <w:b/>
        </w:rPr>
        <w:t xml:space="preserve">SEC01-BP02: </w:t>
      </w:r>
      <w:r>
        <w:t>Protección del usuario raíz insuficiente. Hallazgos críticos: 1 access key(s) activa(s) en usuario raíz</w:t>
      </w:r>
    </w:p>
    <w:p>
      <w:pPr>
        <w:pStyle w:val="ListBullet"/>
      </w:pPr>
      <w:r>
        <w:rPr>
          <w:b/>
        </w:rPr>
        <w:t xml:space="preserve">SEC01-BP04: </w:t>
      </w:r>
      <w:r>
        <w:t>Detección de amenazas insuficiente. Hallazgos: GuardDuty no habilitado para detección de amenazas; Security Hub no habilitado para gestión centralizada de hallazgos</w:t>
      </w:r>
    </w:p>
    <w:p>
      <w:pPr>
        <w:pStyle w:val="ListBullet"/>
      </w:pPr>
      <w:r>
        <w:rPr>
          <w:b/>
        </w:rPr>
        <w:t xml:space="preserve">SEC01-BP07: </w:t>
      </w:r>
      <w:r>
        <w:t>Identificación de amenazas insuficiente. Hallazgos: Security Hub no habilitado para gestión centralizada de amenazas; GuardDuty no habilitado para detección de amenazas; Sin reglas de Config para validación de configuraciones de seguridad</w:t>
      </w:r>
    </w:p>
    <w:p>
      <w:pPr>
        <w:pStyle w:val="ListBullet"/>
      </w:pPr>
      <w:r>
        <w:rPr>
          <w:b/>
        </w:rPr>
        <w:t xml:space="preserve">SEC01-BP08: </w:t>
      </w:r>
      <w:r>
        <w:t>Baja adopción de servicios de seguridad: solo 3/7 (43%). Servicios faltantes: GuardDuty, Security Hub, Macie, WAF.</w:t>
      </w:r>
    </w:p>
    <w:p>
      <w:pPr>
        <w:pStyle w:val="ListBullet"/>
      </w:pPr>
      <w:r>
        <w:rPr>
          <w:b/>
        </w:rPr>
        <w:t xml:space="preserve">SEC02-BP01: </w:t>
      </w:r>
      <w:r>
        <w:t>Mecanismos de inicio de sesión débiles. Hallazgos: Longitud mínima de contraseña insuficiente (11, se requiere &gt;=14); Expiración de contraseña no configurada o muy larga (0 días); Prevención de reutilización insuficiente (5, se requiere &gt;=12); 5 usuario(s) con acceso a consola sin MFA</w:t>
      </w:r>
    </w:p>
    <w:p/>
    <w:p>
      <w:pPr>
        <w:pStyle w:val="Heading2"/>
      </w:pPr>
      <w:r>
        <w:t>Impacto de Negocio</w:t>
      </w:r>
    </w:p>
    <w:p>
      <w:r>
        <w:t>El score actual de 25.4/100 indica riesgos significativos que pueden afectar la continuidad del negocio, la seguridad de los datos, o los costos operacionales. Se recomienda priorizar las remediaciones identificadas.</w:t>
      </w:r>
    </w:p>
    <w:p>
      <w:r>
        <w:br w:type="page"/>
      </w:r>
    </w:p>
    <w:p>
      <w:pPr>
        <w:pStyle w:val="Heading1"/>
      </w:pPr>
      <w:r>
        <w:t>Conclusiones y Recomendaciones</w:t>
      </w:r>
    </w:p>
    <w:p>
      <w:r>
        <w:t>La evaluación Well-Architected ha identificado el estado actual de la arquitectura con un score promedio de 25.4/100 en los pilares evaluados.</w:t>
      </w:r>
    </w:p>
    <w:p/>
    <w:p>
      <w:pPr>
        <w:pStyle w:val="Heading2"/>
      </w:pPr>
      <w:r>
        <w:t>Recomendaciones Prioritarias</w:t>
      </w:r>
    </w:p>
    <w:p>
      <w:r>
        <w:t>1. Priorizar remediaciones en el pilar de Seguridad (score: 25.4/100), ya que presenta el mayor número de oportunidades de mejora.</w:t>
      </w:r>
    </w:p>
    <w:p>
      <w:r>
        <w:t>2. Establecer un plan de remediación con plazos definidos para cada hallazgo identificado.</w:t>
      </w:r>
    </w:p>
    <w:p>
      <w:r>
        <w:t>3. Implementar revisiones periódicas (trimestrales) para monitorear el progreso y mantener la arquitectura alineada con las mejores prácticas.</w:t>
      </w:r>
    </w:p>
    <w:p>
      <w:r>
        <w:t>4. Considerar la implementación de automatización para mantener el cumplimiento continuo de las mejores prácticas.</w:t>
      </w:r>
    </w:p>
    <w:p/>
    <w:p>
      <w:pPr>
        <w:pStyle w:val="Heading2"/>
      </w:pPr>
      <w:r>
        <w:t>Próximos Pasos</w:t>
      </w:r>
    </w:p>
    <w:p>
      <w:r>
        <w:t>• Revisar el reporte técnico detallado para obtener información específica sobre cada hallazgo</w:t>
      </w:r>
    </w:p>
    <w:p>
      <w:r>
        <w:t>• Asignar responsables y plazos para cada remediación prioritaria</w:t>
      </w:r>
    </w:p>
    <w:p>
      <w:r>
        <w:t>• Establecer métricas de seguimiento para medir el progreso</w:t>
      </w:r>
    </w:p>
    <w:p>
      <w:r>
        <w:t>• Programar la próxima evaluación Well-Architected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