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088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fourmis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088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color w:val="F06000"/>
        </w:rPr>
        <w:t>Reporte Ejecutivo</w:t>
      </w:r>
    </w:p>
    <w:p>
      <w:pPr>
        <w:pStyle w:val="Heading2"/>
        <w:jc w:val="center"/>
      </w:pPr>
      <w:r>
        <w:t>AWS Well-Architected Review</w:t>
      </w:r>
    </w:p>
    <w:p>
      <w:pPr>
        <w:jc w:val="center"/>
      </w:pPr>
      <w:r>
        <w:rPr>
          <w:i/>
          <w:color w:val="C01010"/>
          <w:sz w:val="22"/>
        </w:rPr>
        <w:t>GFourmis — Strategic &amp; digital solutions</w:t>
      </w:r>
    </w:p>
    <w:p/>
    <w:p/>
    <w:p>
      <w:r>
        <w:rPr>
          <w:b/>
        </w:rPr>
        <w:t xml:space="preserve">Cuenta AWS: </w:t>
      </w:r>
      <w:r>
        <w:t>854397933378</w:t>
      </w:r>
    </w:p>
    <w:p>
      <w:r>
        <w:rPr>
          <w:b/>
        </w:rPr>
        <w:t xml:space="preserve">Fecha de Evaluación: </w:t>
      </w:r>
      <w:r>
        <w:t>2026-10-23T16:27:04.810882Z</w:t>
      </w:r>
    </w:p>
    <w:p>
      <w:r>
        <w:rPr>
          <w:b/>
        </w:rPr>
        <w:t xml:space="preserve">Fecha de Generación: </w:t>
      </w:r>
      <w:r>
        <w:t>2026-10-23 18:12:57 UTC</w:t>
      </w:r>
    </w:p>
    <w:p>
      <w:r>
        <w:br w:type="page"/>
      </w:r>
    </w:p>
    <w:p>
      <w:pPr>
        <w:pStyle w:val="Heading1"/>
      </w:pPr>
      <w:r>
        <w:rPr>
          <w:color w:val="F06000"/>
        </w:rPr>
        <w:t>Resumen Ejecutivo</w:t>
      </w:r>
    </w:p>
    <w:p>
      <w:r>
        <w:t>Este reporte presenta un análisis estratégico de la evaluación Well-Architected realizada para la cuenta AWS N/A. Se evaluaron 3 pilares con un total de 145 mejores prácticas.</w:t>
      </w:r>
    </w:p>
    <w:p/>
    <w:p>
      <w:pPr>
        <w:pStyle w:val="Heading2"/>
      </w:pPr>
      <w:r>
        <w:t>Hallazgos Clave</w:t>
      </w:r>
    </w:p>
    <w:p>
      <w:r>
        <w:rPr>
          <w:b/>
        </w:rPr>
        <w:t xml:space="preserve">• Score Global: </w:t>
      </w:r>
      <w:r>
        <w:t>42.1%</w:t>
      </w:r>
    </w:p>
    <w:p>
      <w:r>
        <w:rPr>
          <w:b/>
        </w:rPr>
        <w:t xml:space="preserve">• Prácticas Conformes: </w:t>
      </w:r>
      <w:r>
        <w:t>26 de 145 (17.9%)</w:t>
      </w:r>
    </w:p>
    <w:p>
      <w:r>
        <w:rPr>
          <w:b/>
        </w:rPr>
        <w:t xml:space="preserve">• Prácticas No Conformes: </w:t>
      </w:r>
      <w:r>
        <w:t>49 de 145 (33.8%)</w:t>
      </w:r>
    </w:p>
    <w:p>
      <w:r>
        <w:rPr>
          <w:b/>
        </w:rPr>
        <w:t xml:space="preserve">• Prácticas Pendientes de Revisión: </w:t>
      </w:r>
      <w:r>
        <w:t>70 de 145 (48.3%)</w:t>
      </w:r>
    </w:p>
    <w:p/>
    <w:p>
      <w:pPr>
        <w:pStyle w:val="Heading2"/>
      </w:pPr>
      <w:r>
        <w:t>Scores por Pilar</w:t>
      </w:r>
    </w:p>
    <w:p>
      <w:r>
        <w:rPr>
          <w:b/>
        </w:rPr>
        <w:t xml:space="preserve">• Seguridad: </w:t>
      </w:r>
      <w:r>
        <w:t>25.4/100</w:t>
      </w:r>
      <w:r>
        <w:t xml:space="preserve"> - Requiere acción inmediata</w:t>
      </w:r>
    </w:p>
    <w:p>
      <w:r>
        <w:rPr>
          <w:b/>
        </w:rPr>
        <w:t xml:space="preserve">• Rendimiento: </w:t>
      </w:r>
      <w:r>
        <w:t>56.25/100</w:t>
      </w:r>
      <w:r>
        <w:t xml:space="preserve"> - Requiere atención</w:t>
      </w:r>
    </w:p>
    <w:p>
      <w:r>
        <w:rPr>
          <w:b/>
        </w:rPr>
        <w:t xml:space="preserve">• Optimización de Costos: </w:t>
      </w:r>
      <w:r>
        <w:t>54.0/100</w:t>
      </w:r>
      <w:r>
        <w:t xml:space="preserve"> - Requiere atención</w:t>
      </w:r>
    </w:p>
    <w:p>
      <w:r>
        <w:br w:type="page"/>
      </w:r>
    </w:p>
    <w:p>
      <w:pPr>
        <w:pStyle w:val="Heading1"/>
      </w:pPr>
      <w:r>
        <w:rPr>
          <w:color w:val="F06000"/>
        </w:rPr>
        <w:t>Análisis: Seguridad</w:t>
      </w:r>
    </w:p>
    <w:p>
      <w:r>
        <w:t>La seguridad es fundamental para proteger la información, sistemas y activos de su organización.</w:t>
      </w:r>
    </w:p>
    <w:p/>
    <w:p>
      <w:r>
        <w:rPr>
          <w:b/>
        </w:rPr>
        <w:t xml:space="preserve">Score del Pilar: </w:t>
      </w:r>
      <w:r>
        <w:t>25.4/100</w:t>
      </w:r>
    </w:p>
    <w:p/>
    <w:p>
      <w:pPr>
        <w:pStyle w:val="Heading2"/>
      </w:pPr>
      <w:r>
        <w:t>Hallazgos Principales</w:t>
      </w:r>
    </w:p>
    <w:p>
      <w:r>
        <w:t>Se identificaron 40 áreas que requieren atención:</w:t>
      </w:r>
    </w:p>
    <w:p>
      <w:pPr>
        <w:pStyle w:val="ListBullet"/>
      </w:pPr>
      <w:r>
        <w:rPr>
          <w:b/>
        </w:rPr>
        <w:t xml:space="preserve">SEC01-BP02: </w:t>
      </w:r>
      <w:r>
        <w:t>Protección del usuario raíz insuficiente. Hallazgos críticos: 1 access key(s) activa(s) en usuario raíz</w:t>
      </w:r>
    </w:p>
    <w:p>
      <w:pPr>
        <w:pStyle w:val="ListBullet"/>
      </w:pPr>
      <w:r>
        <w:rPr>
          <w:b/>
        </w:rPr>
        <w:t xml:space="preserve">SEC01-BP04: </w:t>
      </w:r>
      <w:r>
        <w:t>Detección de amenazas insuficiente. Hallazgos: GuardDuty no habilitado para detección de amenazas; Security Hub no habilitado para gestión centralizada de hallazgos</w:t>
      </w:r>
    </w:p>
    <w:p>
      <w:pPr>
        <w:pStyle w:val="ListBullet"/>
      </w:pPr>
      <w:r>
        <w:rPr>
          <w:b/>
        </w:rPr>
        <w:t xml:space="preserve">SEC01-BP07: </w:t>
      </w:r>
      <w:r>
        <w:t>Identificación de amenazas insuficiente. Hallazgos: Security Hub no habilitado para gestión centralizada de amenazas; GuardDuty no habilitado para detección de amenazas; Sin reglas de Config para validación de configuraciones de seguridad</w:t>
      </w:r>
    </w:p>
    <w:p>
      <w:pPr>
        <w:pStyle w:val="ListBullet"/>
      </w:pPr>
      <w:r>
        <w:rPr>
          <w:b/>
        </w:rPr>
        <w:t xml:space="preserve">SEC01-BP08: </w:t>
      </w:r>
      <w:r>
        <w:t>Baja adopción de servicios de seguridad: solo 3/7 (43%). Servicios faltantes: GuardDuty, Security Hub, Macie, WAF.</w:t>
      </w:r>
    </w:p>
    <w:p>
      <w:pPr>
        <w:pStyle w:val="ListBullet"/>
      </w:pPr>
      <w:r>
        <w:rPr>
          <w:b/>
        </w:rPr>
        <w:t xml:space="preserve">SEC02-BP01: </w:t>
      </w:r>
      <w:r>
        <w:t>Mecanismos de inicio de sesión débiles. Hallazgos: Longitud mínima de contraseña insuficiente (11, se requiere &gt;=14); Expiración de contraseña no configurada o muy larga (0 días); Prevención de reutilización insuficiente (5, se requiere &gt;=12); 5 usuario(s) con acceso a consola sin MFA</w:t>
      </w:r>
    </w:p>
    <w:p/>
    <w:p>
      <w:pPr>
        <w:pStyle w:val="Heading2"/>
      </w:pPr>
      <w:r>
        <w:t>Escenarios de Riesgo y Consecuencias</w:t>
      </w:r>
    </w:p>
    <w:p>
      <w:r>
        <w:rPr>
          <w:b/>
        </w:rPr>
        <w:t>SEC01-BP02 — Toma de control de la cuenta AWS.</w:t>
      </w:r>
    </w:p>
    <w:p>
      <w:r>
        <w:rPr>
          <w:b/>
        </w:rPr>
        <w:t xml:space="preserve">Actor: </w:t>
      </w:r>
      <w:r>
        <w:t>Atacante con credenciales robadas (phishing o fuga de secretos).</w:t>
      </w:r>
    </w:p>
    <w:p>
      <w:r>
        <w:rPr>
          <w:b/>
        </w:rPr>
        <w:t xml:space="preserve">Consecuencia: </w:t>
      </w:r>
      <w:r>
        <w:t>Control total de la nube del cliente: creación de recursos para minería o fraude, borrado masivo de información y acceso a todos los datos. Impacto crítico en continuidad, costos y confidencialidad.</w:t>
      </w:r>
    </w:p>
    <w:p/>
    <w:p>
      <w:r>
        <w:rPr>
          <w:b/>
        </w:rPr>
        <w:t>SEC02-BP01 — Toma de control de la cuenta AWS.</w:t>
      </w:r>
    </w:p>
    <w:p>
      <w:r>
        <w:rPr>
          <w:b/>
        </w:rPr>
        <w:t xml:space="preserve">Actor: </w:t>
      </w:r>
      <w:r>
        <w:t>Atacante con credenciales robadas (phishing o fuga de secretos).</w:t>
      </w:r>
    </w:p>
    <w:p>
      <w:r>
        <w:rPr>
          <w:b/>
        </w:rPr>
        <w:t xml:space="preserve">Consecuencia: </w:t>
      </w:r>
      <w:r>
        <w:t>Control total de la nube del cliente: creación de recursos para minería o fraude, borrado masivo de información y acceso a todos los datos. Impacto crítico en continuidad, costos y confidencialidad.</w:t>
      </w:r>
    </w:p>
    <w:p/>
    <w:p>
      <w:r>
        <w:rPr>
          <w:b/>
        </w:rPr>
        <w:t>SEC02-BP02 — Exposición de datos y sistemas a accesos no autorizados.</w:t>
      </w:r>
    </w:p>
    <w:p>
      <w:r>
        <w:rPr>
          <w:b/>
        </w:rPr>
        <w:t xml:space="preserve">Actor: </w:t>
      </w:r>
      <w:r>
        <w:t>Actor malicioso externo o interno.</w:t>
      </w:r>
    </w:p>
    <w:p>
      <w:r>
        <w:rPr>
          <w:b/>
        </w:rPr>
        <w:t xml:space="preserve">Consecuencia: </w:t>
      </w:r>
      <w:r>
        <w:t>Riesgo de robo o secuestro de información, suplantación y fraude.</w:t>
      </w:r>
    </w:p>
    <w:p/>
    <w:p>
      <w:r>
        <w:rPr>
          <w:b/>
        </w:rPr>
        <w:t>SEC01-BP04 — Actividad maliciosa invisible: resulta imposible detectar o investigar un incidente.</w:t>
      </w:r>
    </w:p>
    <w:p>
      <w:r>
        <w:rPr>
          <w:b/>
        </w:rPr>
        <w:t xml:space="preserve">Actor: </w:t>
      </w:r>
      <w:r>
        <w:t>Atacante que opera sin dejar rastro o un insider que borra evidencias.</w:t>
      </w:r>
    </w:p>
    <w:p>
      <w:r>
        <w:rPr>
          <w:b/>
        </w:rPr>
        <w:t xml:space="preserve">Consecuencia: </w:t>
      </w:r>
      <w:r>
        <w:t>Los ataques pasan desapercibidos durante meses, no hay forense tras una brecha y se incumplen requisitos de auditoría y de respuesta a incidentes.</w:t>
      </w:r>
    </w:p>
    <w:p/>
    <w:p>
      <w:r>
        <w:rPr>
          <w:b/>
        </w:rPr>
        <w:t>SEC01-BP07 — Actividad maliciosa invisible: resulta imposible detectar o investigar un incidente.</w:t>
      </w:r>
    </w:p>
    <w:p>
      <w:r>
        <w:rPr>
          <w:b/>
        </w:rPr>
        <w:t xml:space="preserve">Actor: </w:t>
      </w:r>
      <w:r>
        <w:t>Atacante que opera sin dejar rastro o un insider que borra evidencias.</w:t>
      </w:r>
    </w:p>
    <w:p>
      <w:r>
        <w:rPr>
          <w:b/>
        </w:rPr>
        <w:t xml:space="preserve">Consecuencia: </w:t>
      </w:r>
      <w:r>
        <w:t>Los ataques pasan desapercibidos durante meses, no hay forense tras una brecha y se incumplen requisitos de auditoría y de respuesta a incidentes.</w:t>
      </w:r>
    </w:p>
    <w:p/>
    <w:p>
      <w:r>
        <w:rPr>
          <w:b/>
        </w:rPr>
        <w:t>SEC01-BP08 — Actividad maliciosa invisible: resulta imposible detectar o investigar un incidente.</w:t>
      </w:r>
    </w:p>
    <w:p>
      <w:r>
        <w:rPr>
          <w:b/>
        </w:rPr>
        <w:t xml:space="preserve">Actor: </w:t>
      </w:r>
      <w:r>
        <w:t>Atacante que opera sin dejar rastro o un insider que borra evidencias.</w:t>
      </w:r>
    </w:p>
    <w:p>
      <w:r>
        <w:rPr>
          <w:b/>
        </w:rPr>
        <w:t xml:space="preserve">Consecuencia: </w:t>
      </w:r>
      <w:r>
        <w:t>Los ataques pasan desapercibidos durante meses, no hay forense tras una brecha y se incumplen requisitos de auditoría y de respuesta a incidentes.</w:t>
      </w:r>
    </w:p>
    <w:p/>
    <w:p>
      <w:r>
        <w:rPr>
          <w:b/>
        </w:rPr>
        <w:t>SEC02-BP05 — Toma de control de la cuenta AWS.</w:t>
      </w:r>
    </w:p>
    <w:p>
      <w:r>
        <w:rPr>
          <w:b/>
        </w:rPr>
        <w:t xml:space="preserve">Actor: </w:t>
      </w:r>
      <w:r>
        <w:t>Atacante con credenciales robadas (phishing o fuga de secretos).</w:t>
      </w:r>
    </w:p>
    <w:p>
      <w:r>
        <w:rPr>
          <w:b/>
        </w:rPr>
        <w:t xml:space="preserve">Consecuencia: </w:t>
      </w:r>
      <w:r>
        <w:t>Control total de la nube del cliente: creación de recursos para minería o fraude, borrado masivo de información y acceso a todos los datos. Impacto crítico en continuidad, costos y confidencialidad.</w:t>
      </w:r>
    </w:p>
    <w:p/>
    <w:p>
      <w:r>
        <w:rPr>
          <w:b/>
        </w:rPr>
        <w:t>SEC03-BP02 — Abuso de permisos excesivos y escalada de privilegios.</w:t>
      </w:r>
    </w:p>
    <w:p>
      <w:r>
        <w:rPr>
          <w:b/>
        </w:rPr>
        <w:t xml:space="preserve">Actor: </w:t>
      </w:r>
      <w:r>
        <w:t>Insider malicioso, cuenta comprometida o un error que un atacante aprovecha.</w:t>
      </w:r>
    </w:p>
    <w:p>
      <w:r>
        <w:rPr>
          <w:b/>
        </w:rPr>
        <w:t xml:space="preserve">Consecuencia: </w:t>
      </w:r>
      <w:r>
        <w:t>Un único acceso comprometido se convierte en control total, con movimiento lateral y acceso a datos y recursos más allá de lo necesario.</w:t>
      </w:r>
    </w:p>
    <w:p/>
    <w:p>
      <w:r>
        <w:rPr>
          <w:i/>
        </w:rPr>
        <w:t>Nota: estos escenarios describen el riesgo potencial si el hallazgo no se remedia; no implican que el ataque haya ocurrido.</w:t>
      </w:r>
    </w:p>
    <w:p/>
    <w:p>
      <w:pPr>
        <w:pStyle w:val="Heading2"/>
      </w:pPr>
      <w:r>
        <w:t>Impacto de Negocio</w:t>
      </w:r>
    </w:p>
    <w:p>
      <w:r>
        <w:t>El score actual de 25.4/100 indica riesgos significativos que pueden afectar la continuidad del negocio, la seguridad de los datos, o los costos operacionales. Se recomienda priorizar las remediaciones identificadas.</w:t>
      </w:r>
    </w:p>
    <w:p>
      <w:r>
        <w:br w:type="page"/>
      </w:r>
    </w:p>
    <w:p>
      <w:pPr>
        <w:pStyle w:val="Heading1"/>
      </w:pPr>
      <w:r>
        <w:rPr>
          <w:color w:val="F06000"/>
        </w:rPr>
        <w:t>Análisis: Rendimiento</w:t>
      </w:r>
    </w:p>
    <w:p>
      <w:r>
        <w:t>El rendimiento eficiente permite utilizar los recursos de manera óptima.</w:t>
      </w:r>
    </w:p>
    <w:p/>
    <w:p>
      <w:r>
        <w:rPr>
          <w:b/>
        </w:rPr>
        <w:t xml:space="preserve">Score del Pilar: </w:t>
      </w:r>
      <w:r>
        <w:t>56.25/100</w:t>
      </w:r>
    </w:p>
    <w:p/>
    <w:p>
      <w:pPr>
        <w:pStyle w:val="Heading2"/>
      </w:pPr>
      <w:r>
        <w:t>Hallazgos Principales</w:t>
      </w:r>
    </w:p>
    <w:p>
      <w:r>
        <w:t>Este pilar cumple con todas las mejores prácticas evaluadas.</w:t>
      </w:r>
    </w:p>
    <w:p/>
    <w:p>
      <w:pPr>
        <w:pStyle w:val="Heading2"/>
      </w:pPr>
      <w:r>
        <w:t>Escenarios de Riesgo y Consecuencias</w:t>
      </w:r>
    </w:p>
    <w:p>
      <w:r>
        <w:t>No se identificaron escenarios de riesgo alto (hallazgos críticos o altos no conformes) en este pilar.</w:t>
      </w:r>
    </w:p>
    <w:p>
      <w:pPr>
        <w:pStyle w:val="Heading2"/>
      </w:pPr>
      <w:r>
        <w:t>Impacto de Negocio</w:t>
      </w:r>
    </w:p>
    <w:p>
      <w:r>
        <w:t>El score actual de 56.25/100 indica riesgos significativos que pueden afectar la continuidad del negocio, la seguridad de los datos, o los costos operacionales. Se recomienda priorizar las remediaciones identificadas.</w:t>
      </w:r>
    </w:p>
    <w:p>
      <w:r>
        <w:br w:type="page"/>
      </w:r>
    </w:p>
    <w:p>
      <w:pPr>
        <w:pStyle w:val="Heading1"/>
      </w:pPr>
      <w:r>
        <w:rPr>
          <w:color w:val="F06000"/>
        </w:rPr>
        <w:t>Análisis: Optimización de Costos</w:t>
      </w:r>
    </w:p>
    <w:p>
      <w:r>
        <w:t>La optimización de costos permite ejecutar sistemas para entregar valor de negocio al menor precio.</w:t>
      </w:r>
    </w:p>
    <w:p/>
    <w:p>
      <w:r>
        <w:rPr>
          <w:b/>
        </w:rPr>
        <w:t xml:space="preserve">Score del Pilar: </w:t>
      </w:r>
      <w:r>
        <w:t>54.0/100</w:t>
      </w:r>
    </w:p>
    <w:p/>
    <w:p>
      <w:pPr>
        <w:pStyle w:val="Heading2"/>
      </w:pPr>
      <w:r>
        <w:t>Hallazgos Principales</w:t>
      </w:r>
    </w:p>
    <w:p>
      <w:r>
        <w:t>Se identificaron 9 áreas que requieren atención:</w:t>
      </w:r>
    </w:p>
    <w:p>
      <w:pPr>
        <w:pStyle w:val="ListBullet"/>
      </w:pPr>
      <w:r>
        <w:rPr>
          <w:b/>
        </w:rPr>
        <w:t xml:space="preserve">COST01-BP04: </w:t>
      </w:r>
      <w:r>
        <w:t>Sin procesos CI/CD ni IaC detectados para integrar conciencia de costos.</w:t>
      </w:r>
    </w:p>
    <w:p>
      <w:pPr>
        <w:pStyle w:val="ListBullet"/>
      </w:pPr>
      <w:r>
        <w:rPr>
          <w:b/>
        </w:rPr>
        <w:t xml:space="preserve">COST01-BP06: </w:t>
      </w:r>
      <w:r>
        <w:t>Sin dashboards de monitoreo de costos.</w:t>
      </w:r>
    </w:p>
    <w:p>
      <w:pPr>
        <w:pStyle w:val="ListBullet"/>
      </w:pPr>
      <w:r>
        <w:rPr>
          <w:b/>
        </w:rPr>
        <w:t xml:space="preserve">COST02-BP03: </w:t>
      </w:r>
      <w:r>
        <w:t>Estructura de cuentas insuficiente para gestión de costos.</w:t>
      </w:r>
    </w:p>
    <w:p>
      <w:pPr>
        <w:pStyle w:val="ListBullet"/>
      </w:pPr>
      <w:r>
        <w:rPr>
          <w:b/>
        </w:rPr>
        <w:t xml:space="preserve">COST03-BP02: </w:t>
      </w:r>
      <w:r>
        <w:t>Etiquetado insuficiente (65% de recursos con tags, se requiere &gt;=80%).</w:t>
      </w:r>
    </w:p>
    <w:p>
      <w:pPr>
        <w:pStyle w:val="ListBullet"/>
      </w:pPr>
      <w:r>
        <w:rPr>
          <w:b/>
        </w:rPr>
        <w:t xml:space="preserve">COST04-BP03: </w:t>
      </w:r>
      <w:r>
        <w:t>Recursos no utilizados detectados: 6 instancia(s) EC2 detenidas.</w:t>
      </w:r>
    </w:p>
    <w:p/>
    <w:p>
      <w:pPr>
        <w:pStyle w:val="Heading2"/>
      </w:pPr>
      <w:r>
        <w:t>Escenarios de Riesgo y Consecuencias</w:t>
      </w:r>
    </w:p>
    <w:p>
      <w:r>
        <w:rPr>
          <w:b/>
        </w:rPr>
        <w:t>COST01-BP04 — Fuga de dinero por recursos ociosos o sobredimensionados.</w:t>
      </w:r>
    </w:p>
    <w:p>
      <w:r>
        <w:rPr>
          <w:b/>
        </w:rPr>
        <w:t xml:space="preserve">Actor: </w:t>
      </w:r>
      <w:r>
        <w:t>Configuración ineficiente y falta de gobierno de costos.</w:t>
      </w:r>
    </w:p>
    <w:p>
      <w:r>
        <w:rPr>
          <w:b/>
        </w:rPr>
        <w:t xml:space="preserve">Consecuencia: </w:t>
      </w:r>
      <w:r>
        <w:t>Gasto innecesario que erosiona el margen del negocio.</w:t>
      </w:r>
    </w:p>
    <w:p/>
    <w:p>
      <w:r>
        <w:rPr>
          <w:b/>
        </w:rPr>
        <w:t>COST03-BP02 — Fuga de dinero por recursos ociosos o sobredimensionados.</w:t>
      </w:r>
    </w:p>
    <w:p>
      <w:r>
        <w:rPr>
          <w:b/>
        </w:rPr>
        <w:t xml:space="preserve">Actor: </w:t>
      </w:r>
      <w:r>
        <w:t>Configuración ineficiente y falta de gobierno de costos.</w:t>
      </w:r>
    </w:p>
    <w:p>
      <w:r>
        <w:rPr>
          <w:b/>
        </w:rPr>
        <w:t xml:space="preserve">Consecuencia: </w:t>
      </w:r>
      <w:r>
        <w:t>Gasto innecesario que erosiona el margen del negocio.</w:t>
      </w:r>
    </w:p>
    <w:p/>
    <w:p>
      <w:r>
        <w:rPr>
          <w:i/>
        </w:rPr>
        <w:t>Nota: estos escenarios describen el riesgo potencial si el hallazgo no se remedia; no implican que el ataque haya ocurrido.</w:t>
      </w:r>
    </w:p>
    <w:p/>
    <w:p>
      <w:pPr>
        <w:pStyle w:val="Heading2"/>
      </w:pPr>
      <w:r>
        <w:t>Impacto de Negocio</w:t>
      </w:r>
    </w:p>
    <w:p>
      <w:r>
        <w:t>El score actual de 54.0/100 indica riesgos significativos que pueden afectar la continuidad del negocio, la seguridad de los datos, o los costos operacionales. Se recomienda priorizar las remediaciones identificadas.</w:t>
      </w:r>
    </w:p>
    <w:p>
      <w:r>
        <w:br w:type="page"/>
      </w:r>
    </w:p>
    <w:p>
      <w:pPr>
        <w:pStyle w:val="Heading1"/>
      </w:pPr>
      <w:r>
        <w:rPr>
          <w:color w:val="F06000"/>
        </w:rPr>
        <w:t>Conclusiones y Recomendaciones</w:t>
      </w:r>
    </w:p>
    <w:p>
      <w:r>
        <w:t>La evaluación Well-Architected ha identificado el estado actual de la arquitectura con un score promedio de 45.2/100 en los pilares evaluados.</w:t>
      </w:r>
    </w:p>
    <w:p/>
    <w:p>
      <w:pPr>
        <w:pStyle w:val="Heading2"/>
      </w:pPr>
      <w:r>
        <w:t>Recomendaciones Prioritarias</w:t>
      </w:r>
    </w:p>
    <w:p>
      <w:r>
        <w:t>1. Priorizar remediaciones en el pilar de Seguridad (score: 25.4/100), ya que presenta el mayor número de oportunidades de mejora.</w:t>
      </w:r>
    </w:p>
    <w:p>
      <w:r>
        <w:t>2. Establecer un plan de remediación con plazos definidos para cada hallazgo identificado.</w:t>
      </w:r>
    </w:p>
    <w:p>
      <w:r>
        <w:t>3. Implementar revisiones periódicas (trimestrales) para monitorear el progreso y mantener la arquitectura alineada con las mejores prácticas.</w:t>
      </w:r>
    </w:p>
    <w:p>
      <w:r>
        <w:t>4. Considerar la implementación de automatización para mantener el cumplimiento continuo de las mejores prácticas.</w:t>
      </w:r>
    </w:p>
    <w:p/>
    <w:p>
      <w:pPr>
        <w:pStyle w:val="Heading2"/>
      </w:pPr>
      <w:r>
        <w:t>Próximos Pasos</w:t>
      </w:r>
    </w:p>
    <w:p>
      <w:r>
        <w:t>• Revisar el reporte técnico detallado para obtener información específica sobre cada hallazgo</w:t>
      </w:r>
    </w:p>
    <w:p>
      <w:r>
        <w:t>• Asignar responsables y plazos para cada remediación prioritaria</w:t>
      </w:r>
    </w:p>
    <w:p>
      <w:r>
        <w:t>• Establecer métricas de seguimiento para medir el progreso</w:t>
      </w:r>
    </w:p>
    <w:p>
      <w:r>
        <w:t>• Programar la próxima evaluación Well-Architected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