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E494" w14:textId="77777777" w:rsidR="008F2C6D" w:rsidRPr="008F2C6D" w:rsidRDefault="008F2C6D" w:rsidP="008F2C6D">
      <w:pPr>
        <w:pStyle w:val="Header"/>
        <w:spacing w:after="120"/>
        <w:jc w:val="center"/>
        <w:rPr>
          <w:sz w:val="22"/>
          <w:szCs w:val="22"/>
        </w:rPr>
      </w:pPr>
      <w:r w:rsidRPr="005F3A50">
        <w:rPr>
          <w:noProof/>
          <w:sz w:val="22"/>
          <w:szCs w:val="22"/>
        </w:rPr>
        <w:drawing>
          <wp:inline distT="0" distB="0" distL="0" distR="0" wp14:anchorId="5729E3DC" wp14:editId="7D17471C">
            <wp:extent cx="920750" cy="911860"/>
            <wp:effectExtent l="0" t="0" r="0" b="0"/>
            <wp:docPr id="1"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10;&#10;Description automatically generated"/>
                    <pic:cNvPicPr>
                      <a:picLocks noChangeAspect="1" noChangeArrowheads="1"/>
                    </pic:cNvPicPr>
                  </pic:nvPicPr>
                  <pic:blipFill>
                    <a:blip r:embed="rId8"/>
                    <a:srcRect l="449" b="1280"/>
                    <a:stretch>
                      <a:fillRect/>
                    </a:stretch>
                  </pic:blipFill>
                  <pic:spPr bwMode="auto">
                    <a:xfrm>
                      <a:off x="0" y="0"/>
                      <a:ext cx="920750" cy="911860"/>
                    </a:xfrm>
                    <a:prstGeom prst="rect">
                      <a:avLst/>
                    </a:prstGeom>
                  </pic:spPr>
                </pic:pic>
              </a:graphicData>
            </a:graphic>
          </wp:inline>
        </w:drawing>
      </w:r>
    </w:p>
    <w:p w14:paraId="181CC86D" w14:textId="77777777" w:rsidR="00ED7CBC" w:rsidRPr="003E4D34" w:rsidRDefault="00435C23" w:rsidP="00ED7CBC">
      <w:pPr>
        <w:pStyle w:val="Header"/>
        <w:jc w:val="center"/>
        <w:rPr>
          <w:b/>
          <w:bCs w:val="0"/>
          <w:sz w:val="22"/>
          <w:szCs w:val="22"/>
        </w:rPr>
      </w:pPr>
      <w:r w:rsidRPr="003E4D34">
        <w:rPr>
          <w:b/>
          <w:bCs w:val="0"/>
          <w:sz w:val="22"/>
          <w:szCs w:val="22"/>
        </w:rPr>
        <w:t>CHIEF ADMINISTRATIVE OFFICE</w:t>
      </w:r>
    </w:p>
    <w:p w14:paraId="2341BC17" w14:textId="77777777" w:rsidR="00ED7CBC" w:rsidRPr="003E4D34" w:rsidRDefault="00ED7CBC" w:rsidP="00ED7CBC">
      <w:pPr>
        <w:pStyle w:val="Header"/>
        <w:jc w:val="center"/>
        <w:rPr>
          <w:b/>
          <w:sz w:val="22"/>
          <w:szCs w:val="22"/>
        </w:rPr>
      </w:pPr>
      <w:r w:rsidRPr="003E4D34">
        <w:rPr>
          <w:b/>
          <w:sz w:val="22"/>
          <w:szCs w:val="22"/>
        </w:rPr>
        <w:t>MEMO</w:t>
      </w:r>
      <w:r w:rsidR="008819BD" w:rsidRPr="003E4D34">
        <w:rPr>
          <w:b/>
          <w:sz w:val="22"/>
          <w:szCs w:val="22"/>
        </w:rPr>
        <w:t>RANDUM</w:t>
      </w:r>
    </w:p>
    <w:p w14:paraId="2BD98491" w14:textId="77777777" w:rsidR="008E5857" w:rsidRPr="00E93F84" w:rsidRDefault="008E5857" w:rsidP="008E5857">
      <w:pPr>
        <w:pBdr>
          <w:bottom w:val="single" w:sz="12" w:space="1" w:color="000000"/>
        </w:pBdr>
        <w:jc w:val="center"/>
        <w:rPr>
          <w:rFonts w:ascii="Arial" w:hAnsi="Arial" w:cs="Arial"/>
          <w:sz w:val="22"/>
          <w:szCs w:val="22"/>
        </w:rPr>
      </w:pPr>
    </w:p>
    <w:p w14:paraId="52BF69B8" w14:textId="77777777" w:rsidR="008E5857" w:rsidRPr="00E93F84" w:rsidRDefault="008E5857" w:rsidP="008E5857">
      <w:pPr>
        <w:rPr>
          <w:rFonts w:ascii="Arial" w:hAnsi="Arial" w:cs="Arial"/>
          <w:sz w:val="22"/>
          <w:szCs w:val="22"/>
        </w:rPr>
      </w:pPr>
      <w:r w:rsidRPr="00E93F84">
        <w:rPr>
          <w:rFonts w:ascii="Arial" w:hAnsi="Arial" w:cs="Arial"/>
          <w:b/>
          <w:bCs/>
          <w:sz w:val="22"/>
          <w:szCs w:val="22"/>
        </w:rPr>
        <w:t>To:</w:t>
      </w:r>
      <w:r w:rsidRPr="00E93F84">
        <w:rPr>
          <w:rFonts w:ascii="Arial" w:hAnsi="Arial" w:cs="Arial"/>
          <w:b/>
          <w:bCs/>
          <w:sz w:val="22"/>
          <w:szCs w:val="22"/>
        </w:rPr>
        <w:tab/>
      </w:r>
      <w:r w:rsidRPr="00E93F84">
        <w:rPr>
          <w:rFonts w:ascii="Arial" w:hAnsi="Arial" w:cs="Arial"/>
          <w:b/>
          <w:bCs/>
          <w:sz w:val="22"/>
          <w:szCs w:val="22"/>
        </w:rPr>
        <w:tab/>
      </w:r>
      <w:r>
        <w:rPr>
          <w:rFonts w:ascii="Arial" w:hAnsi="Arial"/>
          <w:sz w:val="22"/>
        </w:rPr>
        <w:t xml:space="preserve">Gilbert Montaño, </w:t>
      </w:r>
      <w:r>
        <w:rPr>
          <w:rFonts w:ascii="Arial" w:hAnsi="Arial"/>
          <w:i/>
          <w:sz w:val="22"/>
        </w:rPr>
        <w:t>Chief Administrative Officer</w:t>
      </w:r>
    </w:p>
    <w:p w14:paraId="144796C8" w14:textId="77777777" w:rsidR="008E5857" w:rsidRPr="00E93F84" w:rsidRDefault="008E5857" w:rsidP="008E5857">
      <w:pPr>
        <w:rPr>
          <w:rFonts w:ascii="Arial" w:hAnsi="Arial" w:cs="Arial"/>
          <w:i/>
          <w:iCs/>
          <w:sz w:val="22"/>
          <w:szCs w:val="22"/>
        </w:rPr>
      </w:pPr>
      <w:r w:rsidRPr="00E93F84">
        <w:rPr>
          <w:rFonts w:ascii="Arial" w:hAnsi="Arial" w:cs="Arial"/>
          <w:b/>
          <w:bCs/>
          <w:sz w:val="22"/>
          <w:szCs w:val="22"/>
        </w:rPr>
        <w:t xml:space="preserve">From:  </w:t>
      </w:r>
      <w:r w:rsidRPr="00E93F84">
        <w:rPr>
          <w:rFonts w:ascii="Arial" w:hAnsi="Arial" w:cs="Arial"/>
          <w:b/>
          <w:bCs/>
          <w:sz w:val="22"/>
          <w:szCs w:val="22"/>
        </w:rPr>
        <w:tab/>
      </w:r>
      <w:r>
        <w:rPr>
          <w:rFonts w:ascii="Arial" w:hAnsi="Arial"/>
          <w:sz w:val="22"/>
        </w:rPr>
        <w:t>Alex Bauer</w:t>
      </w:r>
    </w:p>
    <w:p w14:paraId="19702F74" w14:textId="77777777" w:rsidR="008E5857" w:rsidRPr="00E93F84" w:rsidRDefault="008E5857" w:rsidP="008E5857">
      <w:pPr>
        <w:rPr>
          <w:rFonts w:ascii="Arial" w:hAnsi="Arial" w:cs="Arial"/>
          <w:bCs/>
          <w:sz w:val="22"/>
          <w:szCs w:val="22"/>
        </w:rPr>
      </w:pPr>
      <w:r w:rsidRPr="00E93F84">
        <w:rPr>
          <w:rFonts w:ascii="Arial" w:hAnsi="Arial" w:cs="Arial"/>
          <w:b/>
          <w:bCs/>
          <w:sz w:val="22"/>
          <w:szCs w:val="22"/>
        </w:rPr>
        <w:t>CC:</w:t>
      </w:r>
      <w:r w:rsidRPr="00E93F84">
        <w:rPr>
          <w:rFonts w:ascii="Arial" w:hAnsi="Arial" w:cs="Arial"/>
          <w:bCs/>
          <w:sz w:val="22"/>
          <w:szCs w:val="22"/>
        </w:rPr>
        <w:t xml:space="preserve"> </w:t>
      </w:r>
      <w:r w:rsidRPr="00E93F84">
        <w:rPr>
          <w:rFonts w:ascii="Arial" w:hAnsi="Arial" w:cs="Arial"/>
          <w:bCs/>
          <w:sz w:val="22"/>
          <w:szCs w:val="22"/>
        </w:rPr>
        <w:tab/>
      </w:r>
      <w:r w:rsidRPr="00E93F84">
        <w:rPr>
          <w:rFonts w:ascii="Arial" w:hAnsi="Arial" w:cs="Arial"/>
          <w:bCs/>
          <w:sz w:val="22"/>
          <w:szCs w:val="22"/>
        </w:rPr>
        <w:tab/>
      </w:r>
      <w:r>
        <w:rPr>
          <w:rFonts w:ascii="Arial" w:hAnsi="Arial"/>
          <w:sz w:val="22"/>
        </w:rPr>
        <w:t>Cameron MacPhee, Rebecca Houtman</w:t>
      </w:r>
    </w:p>
    <w:p w14:paraId="7FD942D6" w14:textId="77777777" w:rsidR="008E5857" w:rsidRPr="00E93F84" w:rsidRDefault="008E5857" w:rsidP="008E5857">
      <w:pPr>
        <w:tabs>
          <w:tab w:val="left" w:pos="720"/>
          <w:tab w:val="left" w:pos="1440"/>
          <w:tab w:val="left" w:pos="2535"/>
        </w:tabs>
        <w:rPr>
          <w:rFonts w:ascii="Arial" w:hAnsi="Arial" w:cs="Arial"/>
          <w:sz w:val="22"/>
          <w:szCs w:val="22"/>
        </w:rPr>
      </w:pPr>
      <w:r w:rsidRPr="00E93F84">
        <w:rPr>
          <w:rFonts w:ascii="Arial" w:hAnsi="Arial" w:cs="Arial"/>
          <w:b/>
          <w:bCs/>
          <w:sz w:val="22"/>
          <w:szCs w:val="22"/>
        </w:rPr>
        <w:t xml:space="preserve">Date: </w:t>
      </w:r>
      <w:r w:rsidRPr="00E93F84">
        <w:rPr>
          <w:rFonts w:ascii="Arial" w:hAnsi="Arial" w:cs="Arial"/>
          <w:b/>
          <w:bCs/>
          <w:sz w:val="22"/>
          <w:szCs w:val="22"/>
        </w:rPr>
        <w:tab/>
      </w:r>
      <w:r w:rsidRPr="00E93F84">
        <w:rPr>
          <w:rFonts w:ascii="Arial" w:hAnsi="Arial" w:cs="Arial"/>
          <w:b/>
          <w:bCs/>
          <w:sz w:val="22"/>
          <w:szCs w:val="22"/>
        </w:rPr>
        <w:tab/>
      </w:r>
      <w:r>
        <w:rPr>
          <w:rFonts w:ascii="Arial" w:hAnsi="Arial"/>
          <w:sz w:val="22"/>
        </w:rPr>
        <w:t>February 2, 2024</w:t>
      </w:r>
    </w:p>
    <w:p w14:paraId="4CE619CE" w14:textId="77777777" w:rsidR="000F517E" w:rsidRPr="00E93F84" w:rsidRDefault="000F517E" w:rsidP="000F517E">
      <w:pPr>
        <w:pBdr>
          <w:bottom w:val="single" w:sz="12" w:space="1" w:color="000000"/>
        </w:pBdr>
        <w:ind w:left="1440" w:hanging="1440"/>
        <w:rPr>
          <w:rFonts w:ascii="Arial" w:hAnsi="Arial" w:cs="Arial"/>
          <w:sz w:val="22"/>
          <w:szCs w:val="22"/>
        </w:rPr>
      </w:pPr>
      <w:r w:rsidRPr="00E93F84">
        <w:rPr>
          <w:rFonts w:ascii="Arial" w:hAnsi="Arial" w:cs="Arial"/>
          <w:b/>
          <w:bCs/>
          <w:sz w:val="22"/>
          <w:szCs w:val="22"/>
        </w:rPr>
        <w:t>Re:</w:t>
      </w:r>
      <w:r w:rsidRPr="00E93F84">
        <w:rPr>
          <w:rFonts w:ascii="Arial" w:hAnsi="Arial" w:cs="Arial"/>
          <w:b/>
          <w:bCs/>
          <w:sz w:val="22"/>
          <w:szCs w:val="22"/>
        </w:rPr>
        <w:tab/>
        <w:t xml:space="preserve">FOR REVIEW: </w:t>
      </w:r>
      <w:r>
        <w:rPr>
          <w:rFonts w:ascii="Arial" w:hAnsi="Arial"/>
          <w:sz w:val="22"/>
        </w:rPr>
        <w:t>NOPD Citation Revenue Analysis</w:t>
      </w:r>
    </w:p>
    <w:p w14:paraId="3278DCA9" w14:textId="77777777" w:rsidR="00A2671A" w:rsidRPr="000F517E" w:rsidRDefault="00A2671A" w:rsidP="000F517E">
      <w:pPr>
        <w:spacing w:after="240"/>
        <w:rPr>
          <w:rFonts w:ascii="Arial" w:hAnsi="Arial" w:cs="Arial"/>
          <w:sz w:val="22"/>
          <w:szCs w:val="22"/>
        </w:rPr>
      </w:pPr>
    </w:p>
    <w:p w14:paraId="61B61DA7" w14:textId="77777777" w:rsidR="00DA2FD3" w:rsidRDefault="00000000">
      <w:r>
        <w:rPr>
          <w:rFonts w:ascii="Arial" w:hAnsi="Arial"/>
          <w:b/>
          <w:sz w:val="22"/>
        </w:rPr>
        <w:t>BACKGROUND</w:t>
      </w:r>
    </w:p>
    <w:p w14:paraId="229C7CD7" w14:textId="77777777" w:rsidR="00DA2FD3" w:rsidRDefault="00000000">
      <w:r>
        <w:rPr>
          <w:rFonts w:ascii="Arial" w:hAnsi="Arial"/>
        </w:rPr>
        <w:t>New Orleans has a unique approach to handling traffic citations, providing its Police Department (NOPD) the option to cite drivers based on either local city ordinances or state traffic laws. This flexibility aims to address traffic violations effectively; however, it also has financial implications for the city. The distinction between the fines for local ordinances and state codes is significant, with state-imposed fines usually being higher. Given the potential impact on the city's annual budget, understanding the revenue implications of NOPD's choice between citing under city ordinance versus state code is of paramount importance. This analysis seeks to offer insight into how these decisions affect financial outcomes for New Orleans, exploring the balance between law enforcement practices and fiscal health.</w:t>
      </w:r>
    </w:p>
    <w:p w14:paraId="686E1088" w14:textId="77777777" w:rsidR="00DA2FD3" w:rsidRDefault="00000000">
      <w:r>
        <w:rPr>
          <w:rFonts w:ascii="Arial" w:hAnsi="Arial"/>
          <w:b/>
          <w:sz w:val="22"/>
        </w:rPr>
        <w:br/>
        <w:t>ANALYSIS</w:t>
      </w:r>
    </w:p>
    <w:p w14:paraId="617D15BC" w14:textId="77777777" w:rsidR="00DA2FD3" w:rsidRDefault="00000000">
      <w:r>
        <w:rPr>
          <w:rFonts w:ascii="Arial" w:hAnsi="Arial"/>
        </w:rPr>
        <w:t xml:space="preserve">In our analysis of the New Orleans Police Department's (NOPD) traffic citation practices, a primary focus was placed on comparing the revenue generated from citations under the City's local traffic ordinances versus those under state traffic laws. It's noteworthy that the state code mandates higher fines for these violations. This discrepancy prompted an investigation into the theoretical financial outcome had NOPD opted exclusively for state citations over local ones. Our definition of "lost revenue" pivots on this comparison, highlighting the gap between the actual funds collected through NOPD's enforcement actions and the augmented figures that could have been achieved under state violation citations. </w:t>
      </w:r>
      <w:r>
        <w:rPr>
          <w:rFonts w:ascii="Arial" w:hAnsi="Arial"/>
        </w:rPr>
        <w:br/>
      </w:r>
      <w:r>
        <w:rPr>
          <w:rFonts w:ascii="Arial" w:hAnsi="Arial"/>
        </w:rPr>
        <w:br/>
        <w:t xml:space="preserve">To ground this investigation, several key assumptions were made. First, we assume that all drivers cited under New Orleans' local ordinances could have been cited for the equivalent state violations. This supposition disregards the potential legal or procedural barriers that might favor local over state citations in certain contexts. Furthermore, we operate under the premise that the citation behavior, in terms of volume and violation type, would remain constant. This means we did not account for possible changes in driver behavior that higher state fines could induce nor the administrative feasibility of implementing such a shift. By adhering strictly to these assumptions, our analysis seeks to isolate the financial impact of this sole procedural change, providing a clear picture of </w:t>
      </w:r>
      <w:r>
        <w:rPr>
          <w:rFonts w:ascii="Arial" w:hAnsi="Arial"/>
        </w:rPr>
        <w:lastRenderedPageBreak/>
        <w:t>the potential revenue gains from aligning NOPD's citation practices with more financially stringent state laws.</w:t>
      </w:r>
    </w:p>
    <w:p w14:paraId="16B7AF75" w14:textId="77777777" w:rsidR="00DA2FD3" w:rsidRDefault="00000000">
      <w:r>
        <w:rPr>
          <w:rFonts w:ascii="Arial" w:hAnsi="Arial"/>
          <w:b/>
          <w:sz w:val="22"/>
        </w:rPr>
        <w:br/>
        <w:t>KEY FINDINGS</w:t>
      </w:r>
    </w:p>
    <w:tbl>
      <w:tblPr>
        <w:tblStyle w:val="TableGrid"/>
        <w:tblW w:w="0" w:type="auto"/>
        <w:jc w:val="center"/>
        <w:tblLayout w:type="fixed"/>
        <w:tblLook w:val="04A0" w:firstRow="1" w:lastRow="0" w:firstColumn="1" w:lastColumn="0" w:noHBand="0" w:noVBand="1"/>
      </w:tblPr>
      <w:tblGrid>
        <w:gridCol w:w="2340"/>
        <w:gridCol w:w="780"/>
        <w:gridCol w:w="1560"/>
        <w:gridCol w:w="1560"/>
        <w:gridCol w:w="780"/>
        <w:gridCol w:w="2340"/>
      </w:tblGrid>
      <w:tr w:rsidR="00DA2FD3" w14:paraId="75108837" w14:textId="77777777">
        <w:trPr>
          <w:jc w:val="center"/>
        </w:trPr>
        <w:tc>
          <w:tcPr>
            <w:tcW w:w="9360" w:type="dxa"/>
            <w:gridSpan w:val="6"/>
            <w:shd w:val="clear" w:color="auto" w:fill="000080"/>
          </w:tcPr>
          <w:p w14:paraId="1FD2CD09" w14:textId="77777777" w:rsidR="00DA2FD3" w:rsidRDefault="00000000">
            <w:pPr>
              <w:jc w:val="center"/>
            </w:pPr>
            <w:r>
              <w:rPr>
                <w:b/>
                <w:color w:val="FFFFFF"/>
              </w:rPr>
              <w:t>Citations by Violation Type</w:t>
            </w:r>
          </w:p>
        </w:tc>
      </w:tr>
      <w:tr w:rsidR="00DA2FD3" w14:paraId="1F2CFAF2" w14:textId="77777777">
        <w:trPr>
          <w:jc w:val="center"/>
        </w:trPr>
        <w:tc>
          <w:tcPr>
            <w:tcW w:w="1440" w:type="dxa"/>
            <w:shd w:val="clear" w:color="auto" w:fill="D3D3D3"/>
          </w:tcPr>
          <w:p w14:paraId="16469DCB" w14:textId="77777777" w:rsidR="00DA2FD3" w:rsidRDefault="00000000">
            <w:pPr>
              <w:jc w:val="center"/>
            </w:pPr>
            <w:r>
              <w:rPr>
                <w:rFonts w:ascii="Arial" w:hAnsi="Arial"/>
                <w:b/>
                <w:sz w:val="20"/>
              </w:rPr>
              <w:t>Violation</w:t>
            </w:r>
          </w:p>
        </w:tc>
        <w:tc>
          <w:tcPr>
            <w:tcW w:w="1440" w:type="dxa"/>
            <w:gridSpan w:val="2"/>
            <w:shd w:val="clear" w:color="auto" w:fill="D3D3D3"/>
          </w:tcPr>
          <w:p w14:paraId="2E20394F" w14:textId="77777777" w:rsidR="00DA2FD3" w:rsidRDefault="00000000">
            <w:pPr>
              <w:jc w:val="center"/>
            </w:pPr>
            <w:r>
              <w:rPr>
                <w:rFonts w:ascii="Arial" w:hAnsi="Arial"/>
                <w:b/>
                <w:sz w:val="20"/>
              </w:rPr>
              <w:t>NOPD Local Citations</w:t>
            </w:r>
          </w:p>
        </w:tc>
        <w:tc>
          <w:tcPr>
            <w:tcW w:w="1440" w:type="dxa"/>
            <w:gridSpan w:val="2"/>
            <w:shd w:val="clear" w:color="auto" w:fill="D3D3D3"/>
          </w:tcPr>
          <w:p w14:paraId="254346E5" w14:textId="77777777" w:rsidR="00DA2FD3" w:rsidRDefault="00000000">
            <w:pPr>
              <w:jc w:val="center"/>
            </w:pPr>
            <w:r>
              <w:rPr>
                <w:rFonts w:ascii="Arial" w:hAnsi="Arial"/>
                <w:b/>
                <w:sz w:val="20"/>
              </w:rPr>
              <w:t>NOPD State Citations</w:t>
            </w:r>
          </w:p>
        </w:tc>
        <w:tc>
          <w:tcPr>
            <w:tcW w:w="1440" w:type="dxa"/>
            <w:shd w:val="clear" w:color="auto" w:fill="D3D3D3"/>
          </w:tcPr>
          <w:p w14:paraId="210385B3" w14:textId="77777777" w:rsidR="00DA2FD3" w:rsidRDefault="00000000">
            <w:pPr>
              <w:jc w:val="center"/>
            </w:pPr>
            <w:r>
              <w:rPr>
                <w:rFonts w:ascii="Arial" w:hAnsi="Arial"/>
                <w:b/>
                <w:sz w:val="20"/>
              </w:rPr>
              <w:t>NOPD Total Citations</w:t>
            </w:r>
          </w:p>
        </w:tc>
      </w:tr>
      <w:tr w:rsidR="00DA2FD3" w14:paraId="27C4B20D" w14:textId="77777777">
        <w:trPr>
          <w:jc w:val="center"/>
        </w:trPr>
        <w:tc>
          <w:tcPr>
            <w:tcW w:w="2340" w:type="dxa"/>
          </w:tcPr>
          <w:p w14:paraId="1BA3E45E" w14:textId="77777777" w:rsidR="00DA2FD3" w:rsidRDefault="00000000">
            <w:pPr>
              <w:jc w:val="center"/>
            </w:pPr>
            <w:r>
              <w:t>Careless operation of a vehicle</w:t>
            </w:r>
          </w:p>
        </w:tc>
        <w:tc>
          <w:tcPr>
            <w:tcW w:w="2340" w:type="dxa"/>
            <w:gridSpan w:val="2"/>
          </w:tcPr>
          <w:p w14:paraId="797CA471" w14:textId="77777777" w:rsidR="00DA2FD3" w:rsidRDefault="00000000">
            <w:pPr>
              <w:jc w:val="center"/>
            </w:pPr>
            <w:r>
              <w:t>1982</w:t>
            </w:r>
          </w:p>
        </w:tc>
        <w:tc>
          <w:tcPr>
            <w:tcW w:w="2340" w:type="dxa"/>
            <w:gridSpan w:val="2"/>
          </w:tcPr>
          <w:p w14:paraId="3DBD6907" w14:textId="77777777" w:rsidR="00DA2FD3" w:rsidRDefault="00000000">
            <w:pPr>
              <w:jc w:val="center"/>
            </w:pPr>
            <w:r>
              <w:t>1857</w:t>
            </w:r>
          </w:p>
        </w:tc>
        <w:tc>
          <w:tcPr>
            <w:tcW w:w="2340" w:type="dxa"/>
          </w:tcPr>
          <w:p w14:paraId="267313A0" w14:textId="77777777" w:rsidR="00DA2FD3" w:rsidRDefault="00000000">
            <w:pPr>
              <w:jc w:val="center"/>
            </w:pPr>
            <w:r>
              <w:t>3839</w:t>
            </w:r>
          </w:p>
        </w:tc>
      </w:tr>
      <w:tr w:rsidR="00DA2FD3" w14:paraId="4B2355CE" w14:textId="77777777">
        <w:trPr>
          <w:jc w:val="center"/>
        </w:trPr>
        <w:tc>
          <w:tcPr>
            <w:tcW w:w="2340" w:type="dxa"/>
          </w:tcPr>
          <w:p w14:paraId="3FEF56CB" w14:textId="77777777" w:rsidR="00DA2FD3" w:rsidRDefault="00000000">
            <w:pPr>
              <w:jc w:val="center"/>
            </w:pPr>
            <w:r>
              <w:t>D/L not on person</w:t>
            </w:r>
          </w:p>
        </w:tc>
        <w:tc>
          <w:tcPr>
            <w:tcW w:w="2340" w:type="dxa"/>
            <w:gridSpan w:val="2"/>
          </w:tcPr>
          <w:p w14:paraId="5BE17AD1" w14:textId="77777777" w:rsidR="00DA2FD3" w:rsidRDefault="00000000">
            <w:pPr>
              <w:jc w:val="center"/>
            </w:pPr>
            <w:r>
              <w:t>940</w:t>
            </w:r>
          </w:p>
        </w:tc>
        <w:tc>
          <w:tcPr>
            <w:tcW w:w="2340" w:type="dxa"/>
            <w:gridSpan w:val="2"/>
          </w:tcPr>
          <w:p w14:paraId="7431924B" w14:textId="77777777" w:rsidR="00DA2FD3" w:rsidRDefault="00000000">
            <w:pPr>
              <w:jc w:val="center"/>
            </w:pPr>
            <w:r>
              <w:t>560</w:t>
            </w:r>
          </w:p>
        </w:tc>
        <w:tc>
          <w:tcPr>
            <w:tcW w:w="2340" w:type="dxa"/>
          </w:tcPr>
          <w:p w14:paraId="2CC63671" w14:textId="77777777" w:rsidR="00DA2FD3" w:rsidRDefault="00000000">
            <w:pPr>
              <w:jc w:val="center"/>
            </w:pPr>
            <w:r>
              <w:t>1500</w:t>
            </w:r>
          </w:p>
        </w:tc>
      </w:tr>
      <w:tr w:rsidR="00DA2FD3" w14:paraId="44960F6A" w14:textId="77777777">
        <w:trPr>
          <w:jc w:val="center"/>
        </w:trPr>
        <w:tc>
          <w:tcPr>
            <w:tcW w:w="2340" w:type="dxa"/>
          </w:tcPr>
          <w:p w14:paraId="259FA7FD" w14:textId="77777777" w:rsidR="00DA2FD3" w:rsidRDefault="00000000">
            <w:pPr>
              <w:jc w:val="center"/>
            </w:pPr>
            <w:r>
              <w:t>Disregard red light</w:t>
            </w:r>
          </w:p>
        </w:tc>
        <w:tc>
          <w:tcPr>
            <w:tcW w:w="2340" w:type="dxa"/>
            <w:gridSpan w:val="2"/>
          </w:tcPr>
          <w:p w14:paraId="78FC5AD1" w14:textId="77777777" w:rsidR="00DA2FD3" w:rsidRDefault="00000000">
            <w:pPr>
              <w:jc w:val="center"/>
            </w:pPr>
            <w:r>
              <w:t>1024</w:t>
            </w:r>
          </w:p>
        </w:tc>
        <w:tc>
          <w:tcPr>
            <w:tcW w:w="2340" w:type="dxa"/>
            <w:gridSpan w:val="2"/>
          </w:tcPr>
          <w:p w14:paraId="0434EFD4" w14:textId="77777777" w:rsidR="00DA2FD3" w:rsidRDefault="00000000">
            <w:pPr>
              <w:jc w:val="center"/>
            </w:pPr>
            <w:r>
              <w:t>440</w:t>
            </w:r>
          </w:p>
        </w:tc>
        <w:tc>
          <w:tcPr>
            <w:tcW w:w="2340" w:type="dxa"/>
          </w:tcPr>
          <w:p w14:paraId="7DE13AB4" w14:textId="77777777" w:rsidR="00DA2FD3" w:rsidRDefault="00000000">
            <w:pPr>
              <w:jc w:val="center"/>
            </w:pPr>
            <w:r>
              <w:t>1464</w:t>
            </w:r>
          </w:p>
        </w:tc>
      </w:tr>
      <w:tr w:rsidR="00DA2FD3" w14:paraId="7277A4F3" w14:textId="77777777">
        <w:trPr>
          <w:jc w:val="center"/>
        </w:trPr>
        <w:tc>
          <w:tcPr>
            <w:tcW w:w="2340" w:type="dxa"/>
          </w:tcPr>
          <w:p w14:paraId="4BDA314B" w14:textId="77777777" w:rsidR="00DA2FD3" w:rsidRDefault="00000000">
            <w:pPr>
              <w:jc w:val="center"/>
            </w:pPr>
            <w:r>
              <w:t>Drivers to use reasonable vigilance</w:t>
            </w:r>
          </w:p>
        </w:tc>
        <w:tc>
          <w:tcPr>
            <w:tcW w:w="2340" w:type="dxa"/>
            <w:gridSpan w:val="2"/>
          </w:tcPr>
          <w:p w14:paraId="0CA1F7A5" w14:textId="77777777" w:rsidR="00DA2FD3" w:rsidRDefault="00000000">
            <w:pPr>
              <w:jc w:val="center"/>
            </w:pPr>
            <w:r>
              <w:t>1943</w:t>
            </w:r>
          </w:p>
        </w:tc>
        <w:tc>
          <w:tcPr>
            <w:tcW w:w="2340" w:type="dxa"/>
            <w:gridSpan w:val="2"/>
          </w:tcPr>
          <w:p w14:paraId="3CA62FE9" w14:textId="77777777" w:rsidR="00DA2FD3" w:rsidRDefault="00000000">
            <w:pPr>
              <w:jc w:val="center"/>
            </w:pPr>
            <w:r>
              <w:t>0</w:t>
            </w:r>
          </w:p>
        </w:tc>
        <w:tc>
          <w:tcPr>
            <w:tcW w:w="2340" w:type="dxa"/>
          </w:tcPr>
          <w:p w14:paraId="4E88D59C" w14:textId="77777777" w:rsidR="00DA2FD3" w:rsidRDefault="00000000">
            <w:pPr>
              <w:jc w:val="center"/>
            </w:pPr>
            <w:r>
              <w:t>1943</w:t>
            </w:r>
          </w:p>
        </w:tc>
      </w:tr>
      <w:tr w:rsidR="00DA2FD3" w14:paraId="32F07963" w14:textId="77777777">
        <w:trPr>
          <w:jc w:val="center"/>
        </w:trPr>
        <w:tc>
          <w:tcPr>
            <w:tcW w:w="2340" w:type="dxa"/>
          </w:tcPr>
          <w:p w14:paraId="72FFF1F7" w14:textId="77777777" w:rsidR="00DA2FD3" w:rsidRDefault="00000000">
            <w:pPr>
              <w:jc w:val="center"/>
            </w:pPr>
            <w:r>
              <w:t>Following too closely</w:t>
            </w:r>
          </w:p>
        </w:tc>
        <w:tc>
          <w:tcPr>
            <w:tcW w:w="2340" w:type="dxa"/>
            <w:gridSpan w:val="2"/>
          </w:tcPr>
          <w:p w14:paraId="5FF27BF4" w14:textId="77777777" w:rsidR="00DA2FD3" w:rsidRDefault="00000000">
            <w:pPr>
              <w:jc w:val="center"/>
            </w:pPr>
            <w:r>
              <w:t>1943</w:t>
            </w:r>
          </w:p>
        </w:tc>
        <w:tc>
          <w:tcPr>
            <w:tcW w:w="2340" w:type="dxa"/>
            <w:gridSpan w:val="2"/>
          </w:tcPr>
          <w:p w14:paraId="748A16C8" w14:textId="77777777" w:rsidR="00DA2FD3" w:rsidRDefault="00000000">
            <w:pPr>
              <w:jc w:val="center"/>
            </w:pPr>
            <w:r>
              <w:t>388</w:t>
            </w:r>
          </w:p>
        </w:tc>
        <w:tc>
          <w:tcPr>
            <w:tcW w:w="2340" w:type="dxa"/>
          </w:tcPr>
          <w:p w14:paraId="7098DA02" w14:textId="77777777" w:rsidR="00DA2FD3" w:rsidRDefault="00000000">
            <w:pPr>
              <w:jc w:val="center"/>
            </w:pPr>
            <w:r>
              <w:t>2331</w:t>
            </w:r>
          </w:p>
        </w:tc>
      </w:tr>
      <w:tr w:rsidR="00DA2FD3" w14:paraId="700DBFA1" w14:textId="77777777">
        <w:trPr>
          <w:jc w:val="center"/>
        </w:trPr>
        <w:tc>
          <w:tcPr>
            <w:tcW w:w="2340" w:type="dxa"/>
          </w:tcPr>
          <w:p w14:paraId="4E6D8BC7" w14:textId="77777777" w:rsidR="00DA2FD3" w:rsidRDefault="00000000">
            <w:pPr>
              <w:jc w:val="center"/>
            </w:pPr>
            <w:r>
              <w:t>Improper lane use</w:t>
            </w:r>
          </w:p>
        </w:tc>
        <w:tc>
          <w:tcPr>
            <w:tcW w:w="2340" w:type="dxa"/>
            <w:gridSpan w:val="2"/>
          </w:tcPr>
          <w:p w14:paraId="5B982FB4" w14:textId="77777777" w:rsidR="00DA2FD3" w:rsidRDefault="00000000">
            <w:pPr>
              <w:jc w:val="center"/>
            </w:pPr>
            <w:r>
              <w:t>1164</w:t>
            </w:r>
          </w:p>
        </w:tc>
        <w:tc>
          <w:tcPr>
            <w:tcW w:w="2340" w:type="dxa"/>
            <w:gridSpan w:val="2"/>
          </w:tcPr>
          <w:p w14:paraId="786AE122" w14:textId="77777777" w:rsidR="00DA2FD3" w:rsidRDefault="00000000">
            <w:pPr>
              <w:jc w:val="center"/>
            </w:pPr>
            <w:r>
              <w:t>285</w:t>
            </w:r>
          </w:p>
        </w:tc>
        <w:tc>
          <w:tcPr>
            <w:tcW w:w="2340" w:type="dxa"/>
          </w:tcPr>
          <w:p w14:paraId="374BBFE7" w14:textId="77777777" w:rsidR="00DA2FD3" w:rsidRDefault="00000000">
            <w:pPr>
              <w:jc w:val="center"/>
            </w:pPr>
            <w:r>
              <w:t>1449</w:t>
            </w:r>
          </w:p>
        </w:tc>
      </w:tr>
      <w:tr w:rsidR="00DA2FD3" w14:paraId="58175679" w14:textId="77777777">
        <w:trPr>
          <w:jc w:val="center"/>
        </w:trPr>
        <w:tc>
          <w:tcPr>
            <w:tcW w:w="2340" w:type="dxa"/>
          </w:tcPr>
          <w:p w14:paraId="5A7D84F7" w14:textId="77777777" w:rsidR="00DA2FD3" w:rsidRDefault="00000000">
            <w:pPr>
              <w:jc w:val="center"/>
            </w:pPr>
            <w:r>
              <w:t>Improper turn</w:t>
            </w:r>
          </w:p>
        </w:tc>
        <w:tc>
          <w:tcPr>
            <w:tcW w:w="2340" w:type="dxa"/>
            <w:gridSpan w:val="2"/>
          </w:tcPr>
          <w:p w14:paraId="1C62CCC7" w14:textId="77777777" w:rsidR="00DA2FD3" w:rsidRDefault="00000000">
            <w:pPr>
              <w:jc w:val="center"/>
            </w:pPr>
            <w:r>
              <w:t>738</w:t>
            </w:r>
          </w:p>
        </w:tc>
        <w:tc>
          <w:tcPr>
            <w:tcW w:w="2340" w:type="dxa"/>
            <w:gridSpan w:val="2"/>
          </w:tcPr>
          <w:p w14:paraId="1556A7FE" w14:textId="77777777" w:rsidR="00DA2FD3" w:rsidRDefault="00000000">
            <w:pPr>
              <w:jc w:val="center"/>
            </w:pPr>
            <w:r>
              <w:t>221</w:t>
            </w:r>
          </w:p>
        </w:tc>
        <w:tc>
          <w:tcPr>
            <w:tcW w:w="2340" w:type="dxa"/>
          </w:tcPr>
          <w:p w14:paraId="38776981" w14:textId="77777777" w:rsidR="00DA2FD3" w:rsidRDefault="00000000">
            <w:pPr>
              <w:jc w:val="center"/>
            </w:pPr>
            <w:r>
              <w:t>959</w:t>
            </w:r>
          </w:p>
        </w:tc>
      </w:tr>
      <w:tr w:rsidR="00DA2FD3" w14:paraId="1B8C4E30" w14:textId="77777777">
        <w:trPr>
          <w:jc w:val="center"/>
        </w:trPr>
        <w:tc>
          <w:tcPr>
            <w:tcW w:w="2340" w:type="dxa"/>
          </w:tcPr>
          <w:p w14:paraId="125D4D48" w14:textId="77777777" w:rsidR="00DA2FD3" w:rsidRDefault="00000000">
            <w:pPr>
              <w:jc w:val="center"/>
            </w:pPr>
            <w:r>
              <w:t>License plates</w:t>
            </w:r>
          </w:p>
        </w:tc>
        <w:tc>
          <w:tcPr>
            <w:tcW w:w="2340" w:type="dxa"/>
            <w:gridSpan w:val="2"/>
          </w:tcPr>
          <w:p w14:paraId="206A7729" w14:textId="77777777" w:rsidR="00DA2FD3" w:rsidRDefault="00000000">
            <w:pPr>
              <w:jc w:val="center"/>
            </w:pPr>
            <w:r>
              <w:t>2717</w:t>
            </w:r>
          </w:p>
        </w:tc>
        <w:tc>
          <w:tcPr>
            <w:tcW w:w="2340" w:type="dxa"/>
            <w:gridSpan w:val="2"/>
          </w:tcPr>
          <w:p w14:paraId="2F6A159F" w14:textId="77777777" w:rsidR="00DA2FD3" w:rsidRDefault="00000000">
            <w:pPr>
              <w:jc w:val="center"/>
            </w:pPr>
            <w:r>
              <w:t>4</w:t>
            </w:r>
          </w:p>
        </w:tc>
        <w:tc>
          <w:tcPr>
            <w:tcW w:w="2340" w:type="dxa"/>
          </w:tcPr>
          <w:p w14:paraId="13CC314F" w14:textId="77777777" w:rsidR="00DA2FD3" w:rsidRDefault="00000000">
            <w:pPr>
              <w:jc w:val="center"/>
            </w:pPr>
            <w:r>
              <w:t>2721</w:t>
            </w:r>
          </w:p>
        </w:tc>
      </w:tr>
      <w:tr w:rsidR="00DA2FD3" w14:paraId="1A3AC2C9" w14:textId="77777777">
        <w:trPr>
          <w:jc w:val="center"/>
        </w:trPr>
        <w:tc>
          <w:tcPr>
            <w:tcW w:w="2340" w:type="dxa"/>
          </w:tcPr>
          <w:p w14:paraId="70A03A89" w14:textId="77777777" w:rsidR="00DA2FD3" w:rsidRDefault="00000000">
            <w:pPr>
              <w:jc w:val="center"/>
            </w:pPr>
            <w:r>
              <w:t>No/expired brake tag</w:t>
            </w:r>
          </w:p>
        </w:tc>
        <w:tc>
          <w:tcPr>
            <w:tcW w:w="2340" w:type="dxa"/>
            <w:gridSpan w:val="2"/>
          </w:tcPr>
          <w:p w14:paraId="4DF29553" w14:textId="77777777" w:rsidR="00DA2FD3" w:rsidRDefault="00000000">
            <w:pPr>
              <w:jc w:val="center"/>
            </w:pPr>
            <w:r>
              <w:t>18</w:t>
            </w:r>
          </w:p>
        </w:tc>
        <w:tc>
          <w:tcPr>
            <w:tcW w:w="2340" w:type="dxa"/>
            <w:gridSpan w:val="2"/>
          </w:tcPr>
          <w:p w14:paraId="6E577F38" w14:textId="77777777" w:rsidR="00DA2FD3" w:rsidRDefault="00000000">
            <w:pPr>
              <w:jc w:val="center"/>
            </w:pPr>
            <w:r>
              <w:t>731</w:t>
            </w:r>
          </w:p>
        </w:tc>
        <w:tc>
          <w:tcPr>
            <w:tcW w:w="2340" w:type="dxa"/>
          </w:tcPr>
          <w:p w14:paraId="2DB88107" w14:textId="77777777" w:rsidR="00DA2FD3" w:rsidRDefault="00000000">
            <w:pPr>
              <w:jc w:val="center"/>
            </w:pPr>
            <w:r>
              <w:t>749</w:t>
            </w:r>
          </w:p>
        </w:tc>
      </w:tr>
      <w:tr w:rsidR="00DA2FD3" w14:paraId="38A8B77B" w14:textId="77777777">
        <w:trPr>
          <w:jc w:val="center"/>
        </w:trPr>
        <w:tc>
          <w:tcPr>
            <w:tcW w:w="2340" w:type="dxa"/>
          </w:tcPr>
          <w:p w14:paraId="5B4F594F" w14:textId="77777777" w:rsidR="00DA2FD3" w:rsidRDefault="00000000">
            <w:pPr>
              <w:jc w:val="center"/>
            </w:pPr>
            <w:r>
              <w:t>Unlawful use of license</w:t>
            </w:r>
          </w:p>
        </w:tc>
        <w:tc>
          <w:tcPr>
            <w:tcW w:w="2340" w:type="dxa"/>
            <w:gridSpan w:val="2"/>
          </w:tcPr>
          <w:p w14:paraId="0E21FFB2" w14:textId="77777777" w:rsidR="00DA2FD3" w:rsidRDefault="00000000">
            <w:pPr>
              <w:jc w:val="center"/>
            </w:pPr>
            <w:r>
              <w:t>1631</w:t>
            </w:r>
          </w:p>
        </w:tc>
        <w:tc>
          <w:tcPr>
            <w:tcW w:w="2340" w:type="dxa"/>
            <w:gridSpan w:val="2"/>
          </w:tcPr>
          <w:p w14:paraId="495B1AE4" w14:textId="77777777" w:rsidR="00DA2FD3" w:rsidRDefault="00000000">
            <w:pPr>
              <w:jc w:val="center"/>
            </w:pPr>
            <w:r>
              <w:t>164</w:t>
            </w:r>
          </w:p>
        </w:tc>
        <w:tc>
          <w:tcPr>
            <w:tcW w:w="2340" w:type="dxa"/>
          </w:tcPr>
          <w:p w14:paraId="472384C1" w14:textId="77777777" w:rsidR="00DA2FD3" w:rsidRDefault="00000000">
            <w:pPr>
              <w:jc w:val="center"/>
            </w:pPr>
            <w:r>
              <w:t>1795</w:t>
            </w:r>
          </w:p>
        </w:tc>
      </w:tr>
      <w:tr w:rsidR="00DA2FD3" w14:paraId="3CC8ABFC" w14:textId="77777777">
        <w:trPr>
          <w:jc w:val="center"/>
        </w:trPr>
        <w:tc>
          <w:tcPr>
            <w:tcW w:w="2340" w:type="dxa"/>
          </w:tcPr>
          <w:p w14:paraId="3B93BB95" w14:textId="77777777" w:rsidR="00DA2FD3" w:rsidRDefault="00000000">
            <w:pPr>
              <w:jc w:val="center"/>
            </w:pPr>
            <w:r>
              <w:t>Yield right of way</w:t>
            </w:r>
          </w:p>
        </w:tc>
        <w:tc>
          <w:tcPr>
            <w:tcW w:w="2340" w:type="dxa"/>
            <w:gridSpan w:val="2"/>
          </w:tcPr>
          <w:p w14:paraId="2D900B10" w14:textId="77777777" w:rsidR="00DA2FD3" w:rsidRDefault="00000000">
            <w:pPr>
              <w:jc w:val="center"/>
            </w:pPr>
            <w:r>
              <w:t>1446</w:t>
            </w:r>
          </w:p>
        </w:tc>
        <w:tc>
          <w:tcPr>
            <w:tcW w:w="2340" w:type="dxa"/>
            <w:gridSpan w:val="2"/>
          </w:tcPr>
          <w:p w14:paraId="0A0526AE" w14:textId="77777777" w:rsidR="00DA2FD3" w:rsidRDefault="00000000">
            <w:pPr>
              <w:jc w:val="center"/>
            </w:pPr>
            <w:r>
              <w:t>599</w:t>
            </w:r>
          </w:p>
        </w:tc>
        <w:tc>
          <w:tcPr>
            <w:tcW w:w="2340" w:type="dxa"/>
          </w:tcPr>
          <w:p w14:paraId="02A987BA" w14:textId="77777777" w:rsidR="00DA2FD3" w:rsidRDefault="00000000">
            <w:pPr>
              <w:jc w:val="center"/>
            </w:pPr>
            <w:r>
              <w:t>2045</w:t>
            </w:r>
          </w:p>
        </w:tc>
      </w:tr>
      <w:tr w:rsidR="00DA2FD3" w14:paraId="7E22C0E7" w14:textId="77777777">
        <w:trPr>
          <w:jc w:val="center"/>
        </w:trPr>
        <w:tc>
          <w:tcPr>
            <w:tcW w:w="2340" w:type="dxa"/>
          </w:tcPr>
          <w:p w14:paraId="797AABFA" w14:textId="77777777" w:rsidR="00DA2FD3" w:rsidRDefault="00000000">
            <w:pPr>
              <w:jc w:val="center"/>
            </w:pPr>
            <w:r>
              <w:t>Total NOPD Citations</w:t>
            </w:r>
          </w:p>
        </w:tc>
        <w:tc>
          <w:tcPr>
            <w:tcW w:w="2340" w:type="dxa"/>
            <w:gridSpan w:val="2"/>
          </w:tcPr>
          <w:p w14:paraId="722486F6" w14:textId="77777777" w:rsidR="00DA2FD3" w:rsidRDefault="00000000">
            <w:pPr>
              <w:jc w:val="center"/>
            </w:pPr>
            <w:r>
              <w:t>15546</w:t>
            </w:r>
          </w:p>
        </w:tc>
        <w:tc>
          <w:tcPr>
            <w:tcW w:w="2340" w:type="dxa"/>
            <w:gridSpan w:val="2"/>
          </w:tcPr>
          <w:p w14:paraId="7E5A6FD8" w14:textId="77777777" w:rsidR="00DA2FD3" w:rsidRDefault="00000000">
            <w:pPr>
              <w:jc w:val="center"/>
            </w:pPr>
            <w:r>
              <w:t>5249</w:t>
            </w:r>
          </w:p>
        </w:tc>
        <w:tc>
          <w:tcPr>
            <w:tcW w:w="2340" w:type="dxa"/>
          </w:tcPr>
          <w:p w14:paraId="6E81A1A2" w14:textId="77777777" w:rsidR="00DA2FD3" w:rsidRDefault="00000000">
            <w:pPr>
              <w:jc w:val="center"/>
            </w:pPr>
            <w:r>
              <w:t>20795</w:t>
            </w:r>
          </w:p>
        </w:tc>
      </w:tr>
      <w:tr w:rsidR="00DA2FD3" w14:paraId="7EC65266" w14:textId="77777777">
        <w:trPr>
          <w:jc w:val="center"/>
        </w:trPr>
        <w:tc>
          <w:tcPr>
            <w:tcW w:w="9360" w:type="dxa"/>
            <w:gridSpan w:val="6"/>
            <w:shd w:val="clear" w:color="auto" w:fill="000080"/>
          </w:tcPr>
          <w:p w14:paraId="164F6444" w14:textId="77777777" w:rsidR="00DA2FD3" w:rsidRDefault="00000000">
            <w:pPr>
              <w:jc w:val="center"/>
            </w:pPr>
            <w:r>
              <w:rPr>
                <w:b/>
                <w:color w:val="FFFFFF"/>
              </w:rPr>
              <w:t>Total Citations</w:t>
            </w:r>
          </w:p>
        </w:tc>
      </w:tr>
      <w:tr w:rsidR="00DA2FD3" w14:paraId="5D692166" w14:textId="77777777">
        <w:trPr>
          <w:jc w:val="center"/>
        </w:trPr>
        <w:tc>
          <w:tcPr>
            <w:tcW w:w="1440" w:type="dxa"/>
            <w:gridSpan w:val="2"/>
            <w:shd w:val="clear" w:color="auto" w:fill="D3D3D3"/>
          </w:tcPr>
          <w:p w14:paraId="1954211F" w14:textId="77777777" w:rsidR="00DA2FD3" w:rsidRDefault="00000000">
            <w:pPr>
              <w:jc w:val="center"/>
            </w:pPr>
            <w:r>
              <w:rPr>
                <w:rFonts w:ascii="Arial" w:hAnsi="Arial"/>
                <w:b/>
                <w:sz w:val="20"/>
              </w:rPr>
              <w:t>NOPD Local Citations</w:t>
            </w:r>
          </w:p>
        </w:tc>
        <w:tc>
          <w:tcPr>
            <w:tcW w:w="1440" w:type="dxa"/>
            <w:gridSpan w:val="2"/>
            <w:shd w:val="clear" w:color="auto" w:fill="D3D3D3"/>
          </w:tcPr>
          <w:p w14:paraId="4B8764B9" w14:textId="77777777" w:rsidR="00DA2FD3" w:rsidRDefault="00000000">
            <w:pPr>
              <w:jc w:val="center"/>
            </w:pPr>
            <w:r>
              <w:rPr>
                <w:rFonts w:ascii="Arial" w:hAnsi="Arial"/>
                <w:b/>
                <w:sz w:val="20"/>
              </w:rPr>
              <w:t>NOPD State Citations</w:t>
            </w:r>
          </w:p>
        </w:tc>
        <w:tc>
          <w:tcPr>
            <w:tcW w:w="1440" w:type="dxa"/>
            <w:gridSpan w:val="2"/>
            <w:shd w:val="clear" w:color="auto" w:fill="D3D3D3"/>
          </w:tcPr>
          <w:p w14:paraId="242FEB78" w14:textId="77777777" w:rsidR="00DA2FD3" w:rsidRDefault="00000000">
            <w:pPr>
              <w:jc w:val="center"/>
            </w:pPr>
            <w:r>
              <w:rPr>
                <w:rFonts w:ascii="Arial" w:hAnsi="Arial"/>
                <w:b/>
                <w:sz w:val="20"/>
              </w:rPr>
              <w:t>NOPD Total Citations</w:t>
            </w:r>
          </w:p>
        </w:tc>
      </w:tr>
      <w:tr w:rsidR="00DA2FD3" w14:paraId="511B1698" w14:textId="77777777">
        <w:trPr>
          <w:jc w:val="center"/>
        </w:trPr>
        <w:tc>
          <w:tcPr>
            <w:tcW w:w="3120" w:type="dxa"/>
            <w:gridSpan w:val="2"/>
          </w:tcPr>
          <w:p w14:paraId="253338D9" w14:textId="77777777" w:rsidR="00DA2FD3" w:rsidRDefault="00000000">
            <w:pPr>
              <w:jc w:val="center"/>
            </w:pPr>
            <w:r>
              <w:t>15546</w:t>
            </w:r>
          </w:p>
        </w:tc>
        <w:tc>
          <w:tcPr>
            <w:tcW w:w="3120" w:type="dxa"/>
            <w:gridSpan w:val="2"/>
          </w:tcPr>
          <w:p w14:paraId="39189ACC" w14:textId="77777777" w:rsidR="00DA2FD3" w:rsidRDefault="00000000">
            <w:pPr>
              <w:jc w:val="center"/>
            </w:pPr>
            <w:r>
              <w:t>5249</w:t>
            </w:r>
          </w:p>
        </w:tc>
        <w:tc>
          <w:tcPr>
            <w:tcW w:w="3120" w:type="dxa"/>
            <w:gridSpan w:val="2"/>
          </w:tcPr>
          <w:p w14:paraId="7FF76643" w14:textId="77777777" w:rsidR="00DA2FD3" w:rsidRDefault="00000000">
            <w:pPr>
              <w:jc w:val="center"/>
            </w:pPr>
            <w:r>
              <w:t>20795</w:t>
            </w:r>
          </w:p>
        </w:tc>
      </w:tr>
    </w:tbl>
    <w:p w14:paraId="173EA19C" w14:textId="77777777" w:rsidR="00DA2FD3" w:rsidRDefault="00DA2FD3"/>
    <w:p w14:paraId="58CA8FB9" w14:textId="77777777" w:rsidR="00DA2FD3" w:rsidRDefault="00000000">
      <w:r>
        <w:rPr>
          <w:noProof/>
        </w:rPr>
        <w:lastRenderedPageBreak/>
        <w:drawing>
          <wp:inline distT="0" distB="0" distL="0" distR="0" wp14:anchorId="010FF55C" wp14:editId="5C448B62">
            <wp:extent cx="5486400" cy="522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D_citations_plot.png"/>
                    <pic:cNvPicPr/>
                  </pic:nvPicPr>
                  <pic:blipFill>
                    <a:blip r:embed="rId9"/>
                    <a:stretch>
                      <a:fillRect/>
                    </a:stretch>
                  </pic:blipFill>
                  <pic:spPr>
                    <a:xfrm>
                      <a:off x="0" y="0"/>
                      <a:ext cx="5486400" cy="5226738"/>
                    </a:xfrm>
                    <a:prstGeom prst="rect">
                      <a:avLst/>
                    </a:prstGeom>
                  </pic:spPr>
                </pic:pic>
              </a:graphicData>
            </a:graphic>
          </wp:inline>
        </w:drawing>
      </w:r>
    </w:p>
    <w:p w14:paraId="6DF892EE" w14:textId="77777777" w:rsidR="00DA2FD3" w:rsidRDefault="00000000">
      <w:r>
        <w:rPr>
          <w:rFonts w:ascii="Arial" w:hAnsi="Arial"/>
        </w:rPr>
        <w:t>The citation data reveals a clear pattern where the majority of traffic citations issued by the New Orleans Police Department (NOPD) are for local violations, apart from brake tag violations which predominantly fall under state citations. This trend highlights a discretionary aspect in the enforcement of traffic laws, especially in cases of careless operation of a vehicle, drivers required to use reasonable vigilance, and following too closely. These specific violations, which top the list of local citations, inherently possess a degree of subjectivity in their interpretation and enforcement by NOPD officers. This discretion underscores the human element in law enforcement, suggesting that officers' personal judgments play a significant role in determining whether a driver's behavior warrants a citation under local ordinances versus state laws. The exception of brake tag violations being mostly cited under state laws could indicate a stricter adherence to or a specific mandate for enforcement in this category, contrasting with the more interpretive nature of the aforementioned violations.</w:t>
      </w:r>
    </w:p>
    <w:p w14:paraId="7429B5C9" w14:textId="77777777" w:rsidR="00DA2FD3" w:rsidRDefault="00DA2FD3"/>
    <w:tbl>
      <w:tblPr>
        <w:tblStyle w:val="TableGrid"/>
        <w:tblW w:w="0" w:type="auto"/>
        <w:jc w:val="center"/>
        <w:tblLayout w:type="fixed"/>
        <w:tblLook w:val="04A0" w:firstRow="1" w:lastRow="0" w:firstColumn="1" w:lastColumn="0" w:noHBand="0" w:noVBand="1"/>
      </w:tblPr>
      <w:tblGrid>
        <w:gridCol w:w="1440"/>
        <w:gridCol w:w="120"/>
        <w:gridCol w:w="1320"/>
        <w:gridCol w:w="240"/>
        <w:gridCol w:w="1200"/>
        <w:gridCol w:w="360"/>
        <w:gridCol w:w="1080"/>
        <w:gridCol w:w="480"/>
        <w:gridCol w:w="960"/>
        <w:gridCol w:w="600"/>
        <w:gridCol w:w="840"/>
        <w:gridCol w:w="1440"/>
      </w:tblGrid>
      <w:tr w:rsidR="00DA2FD3" w14:paraId="67EB1CC8" w14:textId="77777777">
        <w:trPr>
          <w:jc w:val="center"/>
        </w:trPr>
        <w:tc>
          <w:tcPr>
            <w:tcW w:w="9359" w:type="dxa"/>
            <w:gridSpan w:val="12"/>
            <w:shd w:val="clear" w:color="auto" w:fill="000080"/>
          </w:tcPr>
          <w:p w14:paraId="7F2FCD7C" w14:textId="77777777" w:rsidR="00DA2FD3" w:rsidRDefault="00000000">
            <w:pPr>
              <w:jc w:val="center"/>
            </w:pPr>
            <w:r>
              <w:rPr>
                <w:b/>
                <w:color w:val="FFFFFF"/>
              </w:rPr>
              <w:t>Revenue by Violation Type</w:t>
            </w:r>
          </w:p>
        </w:tc>
      </w:tr>
      <w:tr w:rsidR="00DA2FD3" w14:paraId="00E0F645" w14:textId="77777777">
        <w:trPr>
          <w:jc w:val="center"/>
        </w:trPr>
        <w:tc>
          <w:tcPr>
            <w:tcW w:w="1440" w:type="dxa"/>
            <w:shd w:val="clear" w:color="auto" w:fill="D3D3D3"/>
          </w:tcPr>
          <w:p w14:paraId="41BC25E8" w14:textId="77777777" w:rsidR="00DA2FD3" w:rsidRDefault="00000000">
            <w:pPr>
              <w:jc w:val="center"/>
            </w:pPr>
            <w:r>
              <w:rPr>
                <w:rFonts w:ascii="Arial" w:hAnsi="Arial"/>
                <w:b/>
                <w:sz w:val="20"/>
              </w:rPr>
              <w:lastRenderedPageBreak/>
              <w:t>Violation</w:t>
            </w:r>
          </w:p>
        </w:tc>
        <w:tc>
          <w:tcPr>
            <w:tcW w:w="1440" w:type="dxa"/>
            <w:gridSpan w:val="2"/>
            <w:shd w:val="clear" w:color="auto" w:fill="D3D3D3"/>
          </w:tcPr>
          <w:p w14:paraId="6A071BC8" w14:textId="77777777" w:rsidR="00DA2FD3" w:rsidRDefault="00000000">
            <w:pPr>
              <w:jc w:val="center"/>
            </w:pPr>
            <w:r>
              <w:rPr>
                <w:rFonts w:ascii="Arial" w:hAnsi="Arial"/>
                <w:b/>
                <w:sz w:val="20"/>
              </w:rPr>
              <w:t>NOPD Local Revenue</w:t>
            </w:r>
          </w:p>
        </w:tc>
        <w:tc>
          <w:tcPr>
            <w:tcW w:w="1440" w:type="dxa"/>
            <w:gridSpan w:val="2"/>
            <w:shd w:val="clear" w:color="auto" w:fill="D3D3D3"/>
          </w:tcPr>
          <w:p w14:paraId="2DC1B414" w14:textId="77777777" w:rsidR="00DA2FD3" w:rsidRDefault="00000000">
            <w:pPr>
              <w:jc w:val="center"/>
            </w:pPr>
            <w:r>
              <w:rPr>
                <w:rFonts w:ascii="Arial" w:hAnsi="Arial"/>
                <w:b/>
                <w:sz w:val="20"/>
              </w:rPr>
              <w:t>NOPD State Revenue</w:t>
            </w:r>
          </w:p>
        </w:tc>
        <w:tc>
          <w:tcPr>
            <w:tcW w:w="1440" w:type="dxa"/>
            <w:gridSpan w:val="2"/>
            <w:shd w:val="clear" w:color="auto" w:fill="D3D3D3"/>
          </w:tcPr>
          <w:p w14:paraId="7B2636BC" w14:textId="77777777" w:rsidR="00DA2FD3" w:rsidRDefault="00000000">
            <w:pPr>
              <w:jc w:val="center"/>
            </w:pPr>
            <w:r>
              <w:rPr>
                <w:rFonts w:ascii="Arial" w:hAnsi="Arial"/>
                <w:b/>
                <w:sz w:val="20"/>
              </w:rPr>
              <w:t>NOPD Total Revenue</w:t>
            </w:r>
          </w:p>
        </w:tc>
        <w:tc>
          <w:tcPr>
            <w:tcW w:w="1440" w:type="dxa"/>
            <w:gridSpan w:val="2"/>
            <w:shd w:val="clear" w:color="auto" w:fill="D3D3D3"/>
          </w:tcPr>
          <w:p w14:paraId="040EB17A" w14:textId="77777777" w:rsidR="00DA2FD3" w:rsidRDefault="00000000">
            <w:pPr>
              <w:jc w:val="center"/>
            </w:pPr>
            <w:r>
              <w:rPr>
                <w:rFonts w:ascii="Arial" w:hAnsi="Arial"/>
                <w:b/>
                <w:sz w:val="20"/>
              </w:rPr>
              <w:t>NOPD Revenue Local as State</w:t>
            </w:r>
          </w:p>
        </w:tc>
        <w:tc>
          <w:tcPr>
            <w:tcW w:w="1440" w:type="dxa"/>
            <w:gridSpan w:val="2"/>
            <w:shd w:val="clear" w:color="auto" w:fill="D3D3D3"/>
          </w:tcPr>
          <w:p w14:paraId="42BB4D71" w14:textId="77777777" w:rsidR="00DA2FD3" w:rsidRDefault="00000000">
            <w:pPr>
              <w:jc w:val="center"/>
            </w:pPr>
            <w:r>
              <w:rPr>
                <w:rFonts w:ascii="Arial" w:hAnsi="Arial"/>
                <w:b/>
                <w:sz w:val="20"/>
              </w:rPr>
              <w:t>Total NOPD Revenue Local as State</w:t>
            </w:r>
          </w:p>
        </w:tc>
        <w:tc>
          <w:tcPr>
            <w:tcW w:w="1440" w:type="dxa"/>
            <w:shd w:val="clear" w:color="auto" w:fill="D3D3D3"/>
          </w:tcPr>
          <w:p w14:paraId="2696C3C4" w14:textId="77777777" w:rsidR="00DA2FD3" w:rsidRDefault="00000000">
            <w:pPr>
              <w:jc w:val="center"/>
            </w:pPr>
            <w:r>
              <w:rPr>
                <w:rFonts w:ascii="Arial" w:hAnsi="Arial"/>
                <w:b/>
                <w:sz w:val="20"/>
              </w:rPr>
              <w:t>NOPD Lost Revenue</w:t>
            </w:r>
          </w:p>
        </w:tc>
      </w:tr>
      <w:tr w:rsidR="00DA2FD3" w14:paraId="523B5593" w14:textId="77777777">
        <w:trPr>
          <w:jc w:val="center"/>
        </w:trPr>
        <w:tc>
          <w:tcPr>
            <w:tcW w:w="1337" w:type="dxa"/>
          </w:tcPr>
          <w:p w14:paraId="51547428" w14:textId="77777777" w:rsidR="00DA2FD3" w:rsidRDefault="00000000">
            <w:pPr>
              <w:jc w:val="center"/>
            </w:pPr>
            <w:r>
              <w:t>Careless operation of a vehicle</w:t>
            </w:r>
          </w:p>
        </w:tc>
        <w:tc>
          <w:tcPr>
            <w:tcW w:w="1337" w:type="dxa"/>
            <w:gridSpan w:val="2"/>
          </w:tcPr>
          <w:p w14:paraId="2FF8FA20" w14:textId="77777777" w:rsidR="00DA2FD3" w:rsidRDefault="00000000">
            <w:pPr>
              <w:jc w:val="center"/>
            </w:pPr>
            <w:r>
              <w:t>$510,365.00</w:t>
            </w:r>
          </w:p>
        </w:tc>
        <w:tc>
          <w:tcPr>
            <w:tcW w:w="1337" w:type="dxa"/>
            <w:gridSpan w:val="2"/>
          </w:tcPr>
          <w:p w14:paraId="7DA06986" w14:textId="77777777" w:rsidR="00DA2FD3" w:rsidRDefault="00000000">
            <w:pPr>
              <w:jc w:val="center"/>
            </w:pPr>
            <w:r>
              <w:t>$561,742.50</w:t>
            </w:r>
          </w:p>
        </w:tc>
        <w:tc>
          <w:tcPr>
            <w:tcW w:w="1337" w:type="dxa"/>
            <w:gridSpan w:val="2"/>
          </w:tcPr>
          <w:p w14:paraId="0DFD39F6" w14:textId="77777777" w:rsidR="00DA2FD3" w:rsidRDefault="00000000">
            <w:pPr>
              <w:jc w:val="center"/>
            </w:pPr>
            <w:r>
              <w:t>$1,072,107.50</w:t>
            </w:r>
          </w:p>
        </w:tc>
        <w:tc>
          <w:tcPr>
            <w:tcW w:w="1337" w:type="dxa"/>
            <w:gridSpan w:val="2"/>
          </w:tcPr>
          <w:p w14:paraId="46A544A5" w14:textId="77777777" w:rsidR="00DA2FD3" w:rsidRDefault="00000000">
            <w:pPr>
              <w:jc w:val="center"/>
            </w:pPr>
            <w:r>
              <w:t>$599,555.00</w:t>
            </w:r>
          </w:p>
        </w:tc>
        <w:tc>
          <w:tcPr>
            <w:tcW w:w="1337" w:type="dxa"/>
            <w:gridSpan w:val="2"/>
          </w:tcPr>
          <w:p w14:paraId="4D474336" w14:textId="77777777" w:rsidR="00DA2FD3" w:rsidRDefault="00000000">
            <w:pPr>
              <w:jc w:val="center"/>
            </w:pPr>
            <w:r>
              <w:t>$1,161,297.50</w:t>
            </w:r>
          </w:p>
        </w:tc>
        <w:tc>
          <w:tcPr>
            <w:tcW w:w="1337" w:type="dxa"/>
          </w:tcPr>
          <w:p w14:paraId="41EA3D38" w14:textId="77777777" w:rsidR="00DA2FD3" w:rsidRDefault="00000000">
            <w:pPr>
              <w:jc w:val="center"/>
            </w:pPr>
            <w:r>
              <w:t>$89,190.00</w:t>
            </w:r>
          </w:p>
        </w:tc>
      </w:tr>
      <w:tr w:rsidR="00DA2FD3" w14:paraId="7E2735DC" w14:textId="77777777">
        <w:trPr>
          <w:jc w:val="center"/>
        </w:trPr>
        <w:tc>
          <w:tcPr>
            <w:tcW w:w="1337" w:type="dxa"/>
          </w:tcPr>
          <w:p w14:paraId="494EC623" w14:textId="77777777" w:rsidR="00DA2FD3" w:rsidRDefault="00000000">
            <w:pPr>
              <w:jc w:val="center"/>
            </w:pPr>
            <w:r>
              <w:t>D/L not on person</w:t>
            </w:r>
          </w:p>
        </w:tc>
        <w:tc>
          <w:tcPr>
            <w:tcW w:w="1337" w:type="dxa"/>
            <w:gridSpan w:val="2"/>
          </w:tcPr>
          <w:p w14:paraId="6E140F78" w14:textId="77777777" w:rsidR="00DA2FD3" w:rsidRDefault="00000000">
            <w:pPr>
              <w:jc w:val="center"/>
            </w:pPr>
            <w:r>
              <w:t>$195,050.00</w:t>
            </w:r>
          </w:p>
        </w:tc>
        <w:tc>
          <w:tcPr>
            <w:tcW w:w="1337" w:type="dxa"/>
            <w:gridSpan w:val="2"/>
          </w:tcPr>
          <w:p w14:paraId="12A257DF" w14:textId="77777777" w:rsidR="00DA2FD3" w:rsidRDefault="00000000">
            <w:pPr>
              <w:jc w:val="center"/>
            </w:pPr>
            <w:r>
              <w:t>$169,400.00</w:t>
            </w:r>
          </w:p>
        </w:tc>
        <w:tc>
          <w:tcPr>
            <w:tcW w:w="1337" w:type="dxa"/>
            <w:gridSpan w:val="2"/>
          </w:tcPr>
          <w:p w14:paraId="7911C16D" w14:textId="77777777" w:rsidR="00DA2FD3" w:rsidRDefault="00000000">
            <w:pPr>
              <w:jc w:val="center"/>
            </w:pPr>
            <w:r>
              <w:t>$364,450.00</w:t>
            </w:r>
          </w:p>
        </w:tc>
        <w:tc>
          <w:tcPr>
            <w:tcW w:w="1337" w:type="dxa"/>
            <w:gridSpan w:val="2"/>
          </w:tcPr>
          <w:p w14:paraId="39367460" w14:textId="77777777" w:rsidR="00DA2FD3" w:rsidRDefault="00000000">
            <w:pPr>
              <w:jc w:val="center"/>
            </w:pPr>
            <w:r>
              <w:t>$284,350.00</w:t>
            </w:r>
          </w:p>
        </w:tc>
        <w:tc>
          <w:tcPr>
            <w:tcW w:w="1337" w:type="dxa"/>
            <w:gridSpan w:val="2"/>
          </w:tcPr>
          <w:p w14:paraId="791B516D" w14:textId="77777777" w:rsidR="00DA2FD3" w:rsidRDefault="00000000">
            <w:pPr>
              <w:jc w:val="center"/>
            </w:pPr>
            <w:r>
              <w:t>$453,750.00</w:t>
            </w:r>
          </w:p>
        </w:tc>
        <w:tc>
          <w:tcPr>
            <w:tcW w:w="1337" w:type="dxa"/>
          </w:tcPr>
          <w:p w14:paraId="280FB889" w14:textId="77777777" w:rsidR="00DA2FD3" w:rsidRDefault="00000000">
            <w:pPr>
              <w:jc w:val="center"/>
            </w:pPr>
            <w:r>
              <w:t>$89,300.00</w:t>
            </w:r>
          </w:p>
        </w:tc>
      </w:tr>
      <w:tr w:rsidR="00DA2FD3" w14:paraId="0668BDA5" w14:textId="77777777">
        <w:trPr>
          <w:jc w:val="center"/>
        </w:trPr>
        <w:tc>
          <w:tcPr>
            <w:tcW w:w="1337" w:type="dxa"/>
          </w:tcPr>
          <w:p w14:paraId="414A2DCF" w14:textId="77777777" w:rsidR="00DA2FD3" w:rsidRDefault="00000000">
            <w:pPr>
              <w:jc w:val="center"/>
            </w:pPr>
            <w:r>
              <w:t>Disregard red light</w:t>
            </w:r>
          </w:p>
        </w:tc>
        <w:tc>
          <w:tcPr>
            <w:tcW w:w="1337" w:type="dxa"/>
            <w:gridSpan w:val="2"/>
          </w:tcPr>
          <w:p w14:paraId="55CC45D3" w14:textId="77777777" w:rsidR="00DA2FD3" w:rsidRDefault="00000000">
            <w:pPr>
              <w:jc w:val="center"/>
            </w:pPr>
            <w:r>
              <w:t>$232,960.00</w:t>
            </w:r>
          </w:p>
        </w:tc>
        <w:tc>
          <w:tcPr>
            <w:tcW w:w="1337" w:type="dxa"/>
            <w:gridSpan w:val="2"/>
          </w:tcPr>
          <w:p w14:paraId="189F9183" w14:textId="77777777" w:rsidR="00DA2FD3" w:rsidRDefault="00000000">
            <w:pPr>
              <w:jc w:val="center"/>
            </w:pPr>
            <w:r>
              <w:t>$133,100.00</w:t>
            </w:r>
          </w:p>
        </w:tc>
        <w:tc>
          <w:tcPr>
            <w:tcW w:w="1337" w:type="dxa"/>
            <w:gridSpan w:val="2"/>
          </w:tcPr>
          <w:p w14:paraId="3C9E0A9C" w14:textId="77777777" w:rsidR="00DA2FD3" w:rsidRDefault="00000000">
            <w:pPr>
              <w:jc w:val="center"/>
            </w:pPr>
            <w:r>
              <w:t>$366,060.00</w:t>
            </w:r>
          </w:p>
        </w:tc>
        <w:tc>
          <w:tcPr>
            <w:tcW w:w="1337" w:type="dxa"/>
            <w:gridSpan w:val="2"/>
          </w:tcPr>
          <w:p w14:paraId="1609C91B" w14:textId="77777777" w:rsidR="00DA2FD3" w:rsidRDefault="00000000">
            <w:pPr>
              <w:jc w:val="center"/>
            </w:pPr>
            <w:r>
              <w:t>$309,760.00</w:t>
            </w:r>
          </w:p>
        </w:tc>
        <w:tc>
          <w:tcPr>
            <w:tcW w:w="1337" w:type="dxa"/>
            <w:gridSpan w:val="2"/>
          </w:tcPr>
          <w:p w14:paraId="1074E0C3" w14:textId="77777777" w:rsidR="00DA2FD3" w:rsidRDefault="00000000">
            <w:pPr>
              <w:jc w:val="center"/>
            </w:pPr>
            <w:r>
              <w:t>$442,860.00</w:t>
            </w:r>
          </w:p>
        </w:tc>
        <w:tc>
          <w:tcPr>
            <w:tcW w:w="1337" w:type="dxa"/>
          </w:tcPr>
          <w:p w14:paraId="6EDF450C" w14:textId="77777777" w:rsidR="00DA2FD3" w:rsidRDefault="00000000">
            <w:pPr>
              <w:jc w:val="center"/>
            </w:pPr>
            <w:r>
              <w:t>$76,800.00</w:t>
            </w:r>
          </w:p>
        </w:tc>
      </w:tr>
      <w:tr w:rsidR="00DA2FD3" w14:paraId="2BEB2D54" w14:textId="77777777">
        <w:trPr>
          <w:jc w:val="center"/>
        </w:trPr>
        <w:tc>
          <w:tcPr>
            <w:tcW w:w="1337" w:type="dxa"/>
          </w:tcPr>
          <w:p w14:paraId="7B402626" w14:textId="77777777" w:rsidR="00DA2FD3" w:rsidRDefault="00000000">
            <w:pPr>
              <w:jc w:val="center"/>
            </w:pPr>
            <w:r>
              <w:t>Drivers to use reasonable vigilance</w:t>
            </w:r>
          </w:p>
        </w:tc>
        <w:tc>
          <w:tcPr>
            <w:tcW w:w="1337" w:type="dxa"/>
            <w:gridSpan w:val="2"/>
          </w:tcPr>
          <w:p w14:paraId="67047D62" w14:textId="77777777" w:rsidR="00DA2FD3" w:rsidRDefault="00000000">
            <w:pPr>
              <w:jc w:val="center"/>
            </w:pPr>
            <w:r>
              <w:t>$403,172.50</w:t>
            </w:r>
          </w:p>
        </w:tc>
        <w:tc>
          <w:tcPr>
            <w:tcW w:w="1337" w:type="dxa"/>
            <w:gridSpan w:val="2"/>
          </w:tcPr>
          <w:p w14:paraId="324B02ED" w14:textId="77777777" w:rsidR="00DA2FD3" w:rsidRDefault="00000000">
            <w:pPr>
              <w:jc w:val="center"/>
            </w:pPr>
            <w:r>
              <w:t>$0.00</w:t>
            </w:r>
          </w:p>
        </w:tc>
        <w:tc>
          <w:tcPr>
            <w:tcW w:w="1337" w:type="dxa"/>
            <w:gridSpan w:val="2"/>
          </w:tcPr>
          <w:p w14:paraId="02BC0E46" w14:textId="77777777" w:rsidR="00DA2FD3" w:rsidRDefault="00000000">
            <w:pPr>
              <w:jc w:val="center"/>
            </w:pPr>
            <w:r>
              <w:t>$403,172.50</w:t>
            </w:r>
          </w:p>
        </w:tc>
        <w:tc>
          <w:tcPr>
            <w:tcW w:w="1337" w:type="dxa"/>
            <w:gridSpan w:val="2"/>
          </w:tcPr>
          <w:p w14:paraId="037C548C" w14:textId="77777777" w:rsidR="00DA2FD3" w:rsidRDefault="00000000">
            <w:pPr>
              <w:jc w:val="center"/>
            </w:pPr>
            <w:r>
              <w:t>$587,757.50</w:t>
            </w:r>
          </w:p>
        </w:tc>
        <w:tc>
          <w:tcPr>
            <w:tcW w:w="1337" w:type="dxa"/>
            <w:gridSpan w:val="2"/>
          </w:tcPr>
          <w:p w14:paraId="53C42C6B" w14:textId="77777777" w:rsidR="00DA2FD3" w:rsidRDefault="00000000">
            <w:pPr>
              <w:jc w:val="center"/>
            </w:pPr>
            <w:r>
              <w:t>$587,757.50</w:t>
            </w:r>
          </w:p>
        </w:tc>
        <w:tc>
          <w:tcPr>
            <w:tcW w:w="1337" w:type="dxa"/>
          </w:tcPr>
          <w:p w14:paraId="27E8E022" w14:textId="77777777" w:rsidR="00DA2FD3" w:rsidRDefault="00000000">
            <w:pPr>
              <w:jc w:val="center"/>
            </w:pPr>
            <w:r>
              <w:t>$184,585.00</w:t>
            </w:r>
          </w:p>
        </w:tc>
      </w:tr>
      <w:tr w:rsidR="00DA2FD3" w14:paraId="12486B9E" w14:textId="77777777">
        <w:trPr>
          <w:jc w:val="center"/>
        </w:trPr>
        <w:tc>
          <w:tcPr>
            <w:tcW w:w="1337" w:type="dxa"/>
          </w:tcPr>
          <w:p w14:paraId="7836B319" w14:textId="77777777" w:rsidR="00DA2FD3" w:rsidRDefault="00000000">
            <w:pPr>
              <w:jc w:val="center"/>
            </w:pPr>
            <w:r>
              <w:t>Following too closely</w:t>
            </w:r>
          </w:p>
        </w:tc>
        <w:tc>
          <w:tcPr>
            <w:tcW w:w="1337" w:type="dxa"/>
            <w:gridSpan w:val="2"/>
          </w:tcPr>
          <w:p w14:paraId="6581C023" w14:textId="77777777" w:rsidR="00DA2FD3" w:rsidRDefault="00000000">
            <w:pPr>
              <w:jc w:val="center"/>
            </w:pPr>
            <w:r>
              <w:t>$442,032.50</w:t>
            </w:r>
          </w:p>
        </w:tc>
        <w:tc>
          <w:tcPr>
            <w:tcW w:w="1337" w:type="dxa"/>
            <w:gridSpan w:val="2"/>
          </w:tcPr>
          <w:p w14:paraId="3DB4FADF" w14:textId="77777777" w:rsidR="00DA2FD3" w:rsidRDefault="00000000">
            <w:pPr>
              <w:jc w:val="center"/>
            </w:pPr>
            <w:r>
              <w:t>$117,370.00</w:t>
            </w:r>
          </w:p>
        </w:tc>
        <w:tc>
          <w:tcPr>
            <w:tcW w:w="1337" w:type="dxa"/>
            <w:gridSpan w:val="2"/>
          </w:tcPr>
          <w:p w14:paraId="63091606" w14:textId="77777777" w:rsidR="00DA2FD3" w:rsidRDefault="00000000">
            <w:pPr>
              <w:jc w:val="center"/>
            </w:pPr>
            <w:r>
              <w:t>$559,402.50</w:t>
            </w:r>
          </w:p>
        </w:tc>
        <w:tc>
          <w:tcPr>
            <w:tcW w:w="1337" w:type="dxa"/>
            <w:gridSpan w:val="2"/>
          </w:tcPr>
          <w:p w14:paraId="6E9EDC4A" w14:textId="77777777" w:rsidR="00DA2FD3" w:rsidRDefault="00000000">
            <w:pPr>
              <w:jc w:val="center"/>
            </w:pPr>
            <w:r>
              <w:t>$587,757.50</w:t>
            </w:r>
          </w:p>
        </w:tc>
        <w:tc>
          <w:tcPr>
            <w:tcW w:w="1337" w:type="dxa"/>
            <w:gridSpan w:val="2"/>
          </w:tcPr>
          <w:p w14:paraId="5F75E33D" w14:textId="77777777" w:rsidR="00DA2FD3" w:rsidRDefault="00000000">
            <w:pPr>
              <w:jc w:val="center"/>
            </w:pPr>
            <w:r>
              <w:t>$705,127.50</w:t>
            </w:r>
          </w:p>
        </w:tc>
        <w:tc>
          <w:tcPr>
            <w:tcW w:w="1337" w:type="dxa"/>
          </w:tcPr>
          <w:p w14:paraId="489B8BA1" w14:textId="77777777" w:rsidR="00DA2FD3" w:rsidRDefault="00000000">
            <w:pPr>
              <w:jc w:val="center"/>
            </w:pPr>
            <w:r>
              <w:t>$145,725.00</w:t>
            </w:r>
          </w:p>
        </w:tc>
      </w:tr>
      <w:tr w:rsidR="00DA2FD3" w14:paraId="03C9AD41" w14:textId="77777777">
        <w:trPr>
          <w:jc w:val="center"/>
        </w:trPr>
        <w:tc>
          <w:tcPr>
            <w:tcW w:w="1337" w:type="dxa"/>
          </w:tcPr>
          <w:p w14:paraId="7F5554DA" w14:textId="77777777" w:rsidR="00DA2FD3" w:rsidRDefault="00000000">
            <w:pPr>
              <w:jc w:val="center"/>
            </w:pPr>
            <w:r>
              <w:t>Improper lane use</w:t>
            </w:r>
          </w:p>
        </w:tc>
        <w:tc>
          <w:tcPr>
            <w:tcW w:w="1337" w:type="dxa"/>
            <w:gridSpan w:val="2"/>
          </w:tcPr>
          <w:p w14:paraId="07A521D7" w14:textId="77777777" w:rsidR="00DA2FD3" w:rsidRDefault="00000000">
            <w:pPr>
              <w:jc w:val="center"/>
            </w:pPr>
            <w:r>
              <w:t>$183,330.00</w:t>
            </w:r>
          </w:p>
        </w:tc>
        <w:tc>
          <w:tcPr>
            <w:tcW w:w="1337" w:type="dxa"/>
            <w:gridSpan w:val="2"/>
          </w:tcPr>
          <w:p w14:paraId="650FE522" w14:textId="77777777" w:rsidR="00DA2FD3" w:rsidRDefault="00000000">
            <w:pPr>
              <w:jc w:val="center"/>
            </w:pPr>
            <w:r>
              <w:t>$86,212.50</w:t>
            </w:r>
          </w:p>
        </w:tc>
        <w:tc>
          <w:tcPr>
            <w:tcW w:w="1337" w:type="dxa"/>
            <w:gridSpan w:val="2"/>
          </w:tcPr>
          <w:p w14:paraId="2DD633C0" w14:textId="77777777" w:rsidR="00DA2FD3" w:rsidRDefault="00000000">
            <w:pPr>
              <w:jc w:val="center"/>
            </w:pPr>
            <w:r>
              <w:t>$269,542.50</w:t>
            </w:r>
          </w:p>
        </w:tc>
        <w:tc>
          <w:tcPr>
            <w:tcW w:w="1337" w:type="dxa"/>
            <w:gridSpan w:val="2"/>
          </w:tcPr>
          <w:p w14:paraId="0D8C23E5" w14:textId="77777777" w:rsidR="00DA2FD3" w:rsidRDefault="00000000">
            <w:pPr>
              <w:jc w:val="center"/>
            </w:pPr>
            <w:r>
              <w:t>$352,110.00</w:t>
            </w:r>
          </w:p>
        </w:tc>
        <w:tc>
          <w:tcPr>
            <w:tcW w:w="1337" w:type="dxa"/>
            <w:gridSpan w:val="2"/>
          </w:tcPr>
          <w:p w14:paraId="5449C52F" w14:textId="77777777" w:rsidR="00DA2FD3" w:rsidRDefault="00000000">
            <w:pPr>
              <w:jc w:val="center"/>
            </w:pPr>
            <w:r>
              <w:t>$438,322.50</w:t>
            </w:r>
          </w:p>
        </w:tc>
        <w:tc>
          <w:tcPr>
            <w:tcW w:w="1337" w:type="dxa"/>
          </w:tcPr>
          <w:p w14:paraId="2D1E705F" w14:textId="77777777" w:rsidR="00DA2FD3" w:rsidRDefault="00000000">
            <w:pPr>
              <w:jc w:val="center"/>
            </w:pPr>
            <w:r>
              <w:t>$168,780.00</w:t>
            </w:r>
          </w:p>
        </w:tc>
      </w:tr>
      <w:tr w:rsidR="00DA2FD3" w14:paraId="0905BCC2" w14:textId="77777777">
        <w:trPr>
          <w:jc w:val="center"/>
        </w:trPr>
        <w:tc>
          <w:tcPr>
            <w:tcW w:w="1337" w:type="dxa"/>
          </w:tcPr>
          <w:p w14:paraId="6B0847B0" w14:textId="77777777" w:rsidR="00DA2FD3" w:rsidRDefault="00000000">
            <w:pPr>
              <w:jc w:val="center"/>
            </w:pPr>
            <w:r>
              <w:t>Improper turn</w:t>
            </w:r>
          </w:p>
        </w:tc>
        <w:tc>
          <w:tcPr>
            <w:tcW w:w="1337" w:type="dxa"/>
            <w:gridSpan w:val="2"/>
          </w:tcPr>
          <w:p w14:paraId="37B32A2B" w14:textId="77777777" w:rsidR="00DA2FD3" w:rsidRDefault="00000000">
            <w:pPr>
              <w:jc w:val="center"/>
            </w:pPr>
            <w:r>
              <w:t>$116,235.00</w:t>
            </w:r>
          </w:p>
        </w:tc>
        <w:tc>
          <w:tcPr>
            <w:tcW w:w="1337" w:type="dxa"/>
            <w:gridSpan w:val="2"/>
          </w:tcPr>
          <w:p w14:paraId="6F65776E" w14:textId="77777777" w:rsidR="00DA2FD3" w:rsidRDefault="00000000">
            <w:pPr>
              <w:jc w:val="center"/>
            </w:pPr>
            <w:r>
              <w:t>$66,852.50</w:t>
            </w:r>
          </w:p>
        </w:tc>
        <w:tc>
          <w:tcPr>
            <w:tcW w:w="1337" w:type="dxa"/>
            <w:gridSpan w:val="2"/>
          </w:tcPr>
          <w:p w14:paraId="22A39F90" w14:textId="77777777" w:rsidR="00DA2FD3" w:rsidRDefault="00000000">
            <w:pPr>
              <w:jc w:val="center"/>
            </w:pPr>
            <w:r>
              <w:t>$183,087.50</w:t>
            </w:r>
          </w:p>
        </w:tc>
        <w:tc>
          <w:tcPr>
            <w:tcW w:w="1337" w:type="dxa"/>
            <w:gridSpan w:val="2"/>
          </w:tcPr>
          <w:p w14:paraId="7A2D20AA" w14:textId="77777777" w:rsidR="00DA2FD3" w:rsidRDefault="00000000">
            <w:pPr>
              <w:jc w:val="center"/>
            </w:pPr>
            <w:r>
              <w:t>$223,245.00</w:t>
            </w:r>
          </w:p>
        </w:tc>
        <w:tc>
          <w:tcPr>
            <w:tcW w:w="1337" w:type="dxa"/>
            <w:gridSpan w:val="2"/>
          </w:tcPr>
          <w:p w14:paraId="304B134B" w14:textId="77777777" w:rsidR="00DA2FD3" w:rsidRDefault="00000000">
            <w:pPr>
              <w:jc w:val="center"/>
            </w:pPr>
            <w:r>
              <w:t>$290,097.50</w:t>
            </w:r>
          </w:p>
        </w:tc>
        <w:tc>
          <w:tcPr>
            <w:tcW w:w="1337" w:type="dxa"/>
          </w:tcPr>
          <w:p w14:paraId="4B2FEF8C" w14:textId="77777777" w:rsidR="00DA2FD3" w:rsidRDefault="00000000">
            <w:pPr>
              <w:jc w:val="center"/>
            </w:pPr>
            <w:r>
              <w:t>$107,010.00</w:t>
            </w:r>
          </w:p>
        </w:tc>
      </w:tr>
      <w:tr w:rsidR="00DA2FD3" w14:paraId="184B8131" w14:textId="77777777">
        <w:trPr>
          <w:jc w:val="center"/>
        </w:trPr>
        <w:tc>
          <w:tcPr>
            <w:tcW w:w="1337" w:type="dxa"/>
          </w:tcPr>
          <w:p w14:paraId="3C270B5C" w14:textId="77777777" w:rsidR="00DA2FD3" w:rsidRDefault="00000000">
            <w:pPr>
              <w:jc w:val="center"/>
            </w:pPr>
            <w:r>
              <w:t>License plates</w:t>
            </w:r>
          </w:p>
        </w:tc>
        <w:tc>
          <w:tcPr>
            <w:tcW w:w="1337" w:type="dxa"/>
            <w:gridSpan w:val="2"/>
          </w:tcPr>
          <w:p w14:paraId="40EB9AB2" w14:textId="77777777" w:rsidR="00DA2FD3" w:rsidRDefault="00000000">
            <w:pPr>
              <w:jc w:val="center"/>
            </w:pPr>
            <w:r>
              <w:t>$427,927.50</w:t>
            </w:r>
          </w:p>
        </w:tc>
        <w:tc>
          <w:tcPr>
            <w:tcW w:w="1337" w:type="dxa"/>
            <w:gridSpan w:val="2"/>
          </w:tcPr>
          <w:p w14:paraId="299A6313" w14:textId="77777777" w:rsidR="00DA2FD3" w:rsidRDefault="00000000">
            <w:pPr>
              <w:jc w:val="center"/>
            </w:pPr>
            <w:r>
              <w:t>$1,210.00</w:t>
            </w:r>
          </w:p>
        </w:tc>
        <w:tc>
          <w:tcPr>
            <w:tcW w:w="1337" w:type="dxa"/>
            <w:gridSpan w:val="2"/>
          </w:tcPr>
          <w:p w14:paraId="22D7A386" w14:textId="77777777" w:rsidR="00DA2FD3" w:rsidRDefault="00000000">
            <w:pPr>
              <w:jc w:val="center"/>
            </w:pPr>
            <w:r>
              <w:t>$429,137.50</w:t>
            </w:r>
          </w:p>
        </w:tc>
        <w:tc>
          <w:tcPr>
            <w:tcW w:w="1337" w:type="dxa"/>
            <w:gridSpan w:val="2"/>
          </w:tcPr>
          <w:p w14:paraId="45A91A6E" w14:textId="77777777" w:rsidR="00DA2FD3" w:rsidRDefault="00000000">
            <w:pPr>
              <w:jc w:val="center"/>
            </w:pPr>
            <w:r>
              <w:t>$821,892.50</w:t>
            </w:r>
          </w:p>
        </w:tc>
        <w:tc>
          <w:tcPr>
            <w:tcW w:w="1337" w:type="dxa"/>
            <w:gridSpan w:val="2"/>
          </w:tcPr>
          <w:p w14:paraId="0367C422" w14:textId="77777777" w:rsidR="00DA2FD3" w:rsidRDefault="00000000">
            <w:pPr>
              <w:jc w:val="center"/>
            </w:pPr>
            <w:r>
              <w:t>$823,102.50</w:t>
            </w:r>
          </w:p>
        </w:tc>
        <w:tc>
          <w:tcPr>
            <w:tcW w:w="1337" w:type="dxa"/>
          </w:tcPr>
          <w:p w14:paraId="3EDBFB7B" w14:textId="77777777" w:rsidR="00DA2FD3" w:rsidRDefault="00000000">
            <w:pPr>
              <w:jc w:val="center"/>
            </w:pPr>
            <w:r>
              <w:t>$393,965.00</w:t>
            </w:r>
          </w:p>
        </w:tc>
      </w:tr>
      <w:tr w:rsidR="00DA2FD3" w14:paraId="7760A2FC" w14:textId="77777777">
        <w:trPr>
          <w:jc w:val="center"/>
        </w:trPr>
        <w:tc>
          <w:tcPr>
            <w:tcW w:w="1337" w:type="dxa"/>
          </w:tcPr>
          <w:p w14:paraId="23A7F0AC" w14:textId="77777777" w:rsidR="00DA2FD3" w:rsidRDefault="00000000">
            <w:pPr>
              <w:jc w:val="center"/>
            </w:pPr>
            <w:r>
              <w:t>No/expired brake tag</w:t>
            </w:r>
          </w:p>
        </w:tc>
        <w:tc>
          <w:tcPr>
            <w:tcW w:w="1337" w:type="dxa"/>
            <w:gridSpan w:val="2"/>
          </w:tcPr>
          <w:p w14:paraId="7CC8AEFA" w14:textId="77777777" w:rsidR="00DA2FD3" w:rsidRDefault="00000000">
            <w:pPr>
              <w:jc w:val="center"/>
            </w:pPr>
            <w:r>
              <w:t>$3,735.00</w:t>
            </w:r>
          </w:p>
        </w:tc>
        <w:tc>
          <w:tcPr>
            <w:tcW w:w="1337" w:type="dxa"/>
            <w:gridSpan w:val="2"/>
          </w:tcPr>
          <w:p w14:paraId="39EDAB60" w14:textId="77777777" w:rsidR="00DA2FD3" w:rsidRDefault="00000000">
            <w:pPr>
              <w:jc w:val="center"/>
            </w:pPr>
            <w:r>
              <w:t>$221,127.50</w:t>
            </w:r>
          </w:p>
        </w:tc>
        <w:tc>
          <w:tcPr>
            <w:tcW w:w="1337" w:type="dxa"/>
            <w:gridSpan w:val="2"/>
          </w:tcPr>
          <w:p w14:paraId="6DD453C5" w14:textId="77777777" w:rsidR="00DA2FD3" w:rsidRDefault="00000000">
            <w:pPr>
              <w:jc w:val="center"/>
            </w:pPr>
            <w:r>
              <w:t>$224,862.50</w:t>
            </w:r>
          </w:p>
        </w:tc>
        <w:tc>
          <w:tcPr>
            <w:tcW w:w="1337" w:type="dxa"/>
            <w:gridSpan w:val="2"/>
          </w:tcPr>
          <w:p w14:paraId="059E9ADD" w14:textId="77777777" w:rsidR="00DA2FD3" w:rsidRDefault="00000000">
            <w:pPr>
              <w:jc w:val="center"/>
            </w:pPr>
            <w:r>
              <w:t>$5,445.00</w:t>
            </w:r>
          </w:p>
        </w:tc>
        <w:tc>
          <w:tcPr>
            <w:tcW w:w="1337" w:type="dxa"/>
            <w:gridSpan w:val="2"/>
          </w:tcPr>
          <w:p w14:paraId="30A7D226" w14:textId="77777777" w:rsidR="00DA2FD3" w:rsidRDefault="00000000">
            <w:pPr>
              <w:jc w:val="center"/>
            </w:pPr>
            <w:r>
              <w:t>$226,572.50</w:t>
            </w:r>
          </w:p>
        </w:tc>
        <w:tc>
          <w:tcPr>
            <w:tcW w:w="1337" w:type="dxa"/>
          </w:tcPr>
          <w:p w14:paraId="3135C8AF" w14:textId="77777777" w:rsidR="00DA2FD3" w:rsidRDefault="00000000">
            <w:pPr>
              <w:jc w:val="center"/>
            </w:pPr>
            <w:r>
              <w:t>$1,710.00</w:t>
            </w:r>
          </w:p>
        </w:tc>
      </w:tr>
      <w:tr w:rsidR="00DA2FD3" w14:paraId="1ADBC034" w14:textId="77777777">
        <w:trPr>
          <w:jc w:val="center"/>
        </w:trPr>
        <w:tc>
          <w:tcPr>
            <w:tcW w:w="1337" w:type="dxa"/>
          </w:tcPr>
          <w:p w14:paraId="51598D57" w14:textId="77777777" w:rsidR="00DA2FD3" w:rsidRDefault="00000000">
            <w:pPr>
              <w:jc w:val="center"/>
            </w:pPr>
            <w:r>
              <w:t>Unlawful use of license</w:t>
            </w:r>
          </w:p>
        </w:tc>
        <w:tc>
          <w:tcPr>
            <w:tcW w:w="1337" w:type="dxa"/>
            <w:gridSpan w:val="2"/>
          </w:tcPr>
          <w:p w14:paraId="73901CBE" w14:textId="77777777" w:rsidR="00DA2FD3" w:rsidRDefault="00000000">
            <w:pPr>
              <w:jc w:val="center"/>
            </w:pPr>
            <w:r>
              <w:t>$990,832.50</w:t>
            </w:r>
          </w:p>
        </w:tc>
        <w:tc>
          <w:tcPr>
            <w:tcW w:w="1337" w:type="dxa"/>
            <w:gridSpan w:val="2"/>
          </w:tcPr>
          <w:p w14:paraId="7AAB9291" w14:textId="77777777" w:rsidR="00DA2FD3" w:rsidRDefault="00000000">
            <w:pPr>
              <w:jc w:val="center"/>
            </w:pPr>
            <w:r>
              <w:t>$102,910.00</w:t>
            </w:r>
          </w:p>
        </w:tc>
        <w:tc>
          <w:tcPr>
            <w:tcW w:w="1337" w:type="dxa"/>
            <w:gridSpan w:val="2"/>
          </w:tcPr>
          <w:p w14:paraId="2322B3F2" w14:textId="77777777" w:rsidR="00DA2FD3" w:rsidRDefault="00000000">
            <w:pPr>
              <w:jc w:val="center"/>
            </w:pPr>
            <w:r>
              <w:t>$1,093,742.50</w:t>
            </w:r>
          </w:p>
        </w:tc>
        <w:tc>
          <w:tcPr>
            <w:tcW w:w="1337" w:type="dxa"/>
            <w:gridSpan w:val="2"/>
          </w:tcPr>
          <w:p w14:paraId="055E1AB7" w14:textId="77777777" w:rsidR="00DA2FD3" w:rsidRDefault="00000000">
            <w:pPr>
              <w:jc w:val="center"/>
            </w:pPr>
            <w:r>
              <w:t>$1,023,452.50</w:t>
            </w:r>
          </w:p>
        </w:tc>
        <w:tc>
          <w:tcPr>
            <w:tcW w:w="1337" w:type="dxa"/>
            <w:gridSpan w:val="2"/>
          </w:tcPr>
          <w:p w14:paraId="0633A31E" w14:textId="77777777" w:rsidR="00DA2FD3" w:rsidRDefault="00000000">
            <w:pPr>
              <w:jc w:val="center"/>
            </w:pPr>
            <w:r>
              <w:t>$1,126,362.50</w:t>
            </w:r>
          </w:p>
        </w:tc>
        <w:tc>
          <w:tcPr>
            <w:tcW w:w="1337" w:type="dxa"/>
          </w:tcPr>
          <w:p w14:paraId="06057810" w14:textId="77777777" w:rsidR="00DA2FD3" w:rsidRDefault="00000000">
            <w:pPr>
              <w:jc w:val="center"/>
            </w:pPr>
            <w:r>
              <w:t>$32,620.00</w:t>
            </w:r>
          </w:p>
        </w:tc>
      </w:tr>
      <w:tr w:rsidR="00DA2FD3" w14:paraId="38BC55BB" w14:textId="77777777">
        <w:trPr>
          <w:jc w:val="center"/>
        </w:trPr>
        <w:tc>
          <w:tcPr>
            <w:tcW w:w="1337" w:type="dxa"/>
          </w:tcPr>
          <w:p w14:paraId="7B693BD1" w14:textId="77777777" w:rsidR="00DA2FD3" w:rsidRDefault="00000000">
            <w:pPr>
              <w:jc w:val="center"/>
            </w:pPr>
            <w:r>
              <w:t>Yield right of way</w:t>
            </w:r>
          </w:p>
        </w:tc>
        <w:tc>
          <w:tcPr>
            <w:tcW w:w="1337" w:type="dxa"/>
            <w:gridSpan w:val="2"/>
          </w:tcPr>
          <w:p w14:paraId="0F28B238" w14:textId="77777777" w:rsidR="00DA2FD3" w:rsidRDefault="00000000">
            <w:pPr>
              <w:jc w:val="center"/>
            </w:pPr>
            <w:r>
              <w:t>$328,965.00</w:t>
            </w:r>
          </w:p>
        </w:tc>
        <w:tc>
          <w:tcPr>
            <w:tcW w:w="1337" w:type="dxa"/>
            <w:gridSpan w:val="2"/>
          </w:tcPr>
          <w:p w14:paraId="2749DA66" w14:textId="77777777" w:rsidR="00DA2FD3" w:rsidRDefault="00000000">
            <w:pPr>
              <w:jc w:val="center"/>
            </w:pPr>
            <w:r>
              <w:t>$181,197.50</w:t>
            </w:r>
          </w:p>
        </w:tc>
        <w:tc>
          <w:tcPr>
            <w:tcW w:w="1337" w:type="dxa"/>
            <w:gridSpan w:val="2"/>
          </w:tcPr>
          <w:p w14:paraId="574C3C8A" w14:textId="77777777" w:rsidR="00DA2FD3" w:rsidRDefault="00000000">
            <w:pPr>
              <w:jc w:val="center"/>
            </w:pPr>
            <w:r>
              <w:t>$510,162.50</w:t>
            </w:r>
          </w:p>
        </w:tc>
        <w:tc>
          <w:tcPr>
            <w:tcW w:w="1337" w:type="dxa"/>
            <w:gridSpan w:val="2"/>
          </w:tcPr>
          <w:p w14:paraId="22BB70E5" w14:textId="77777777" w:rsidR="00DA2FD3" w:rsidRDefault="00000000">
            <w:pPr>
              <w:jc w:val="center"/>
            </w:pPr>
            <w:r>
              <w:t>$437,415.00</w:t>
            </w:r>
          </w:p>
        </w:tc>
        <w:tc>
          <w:tcPr>
            <w:tcW w:w="1337" w:type="dxa"/>
            <w:gridSpan w:val="2"/>
          </w:tcPr>
          <w:p w14:paraId="0BE6D736" w14:textId="77777777" w:rsidR="00DA2FD3" w:rsidRDefault="00000000">
            <w:pPr>
              <w:jc w:val="center"/>
            </w:pPr>
            <w:r>
              <w:t>$618,612.50</w:t>
            </w:r>
          </w:p>
        </w:tc>
        <w:tc>
          <w:tcPr>
            <w:tcW w:w="1337" w:type="dxa"/>
          </w:tcPr>
          <w:p w14:paraId="31DAFA2D" w14:textId="77777777" w:rsidR="00DA2FD3" w:rsidRDefault="00000000">
            <w:pPr>
              <w:jc w:val="center"/>
            </w:pPr>
            <w:r>
              <w:t>$108,450.00</w:t>
            </w:r>
          </w:p>
        </w:tc>
      </w:tr>
      <w:tr w:rsidR="00DA2FD3" w14:paraId="55C0FDE1" w14:textId="77777777">
        <w:trPr>
          <w:jc w:val="center"/>
        </w:trPr>
        <w:tc>
          <w:tcPr>
            <w:tcW w:w="1337" w:type="dxa"/>
          </w:tcPr>
          <w:p w14:paraId="2C31C86B" w14:textId="77777777" w:rsidR="00DA2FD3" w:rsidRDefault="00000000">
            <w:pPr>
              <w:jc w:val="center"/>
            </w:pPr>
            <w:r>
              <w:t>Total NOPD Revenue</w:t>
            </w:r>
          </w:p>
        </w:tc>
        <w:tc>
          <w:tcPr>
            <w:tcW w:w="1337" w:type="dxa"/>
            <w:gridSpan w:val="2"/>
          </w:tcPr>
          <w:p w14:paraId="0CE2706A" w14:textId="77777777" w:rsidR="00DA2FD3" w:rsidRDefault="00000000">
            <w:pPr>
              <w:jc w:val="center"/>
            </w:pPr>
            <w:r>
              <w:t>$3,834,605.00</w:t>
            </w:r>
          </w:p>
        </w:tc>
        <w:tc>
          <w:tcPr>
            <w:tcW w:w="1337" w:type="dxa"/>
            <w:gridSpan w:val="2"/>
          </w:tcPr>
          <w:p w14:paraId="65FF472E" w14:textId="77777777" w:rsidR="00DA2FD3" w:rsidRDefault="00000000">
            <w:pPr>
              <w:jc w:val="center"/>
            </w:pPr>
            <w:r>
              <w:t>$1,641,122.50</w:t>
            </w:r>
          </w:p>
        </w:tc>
        <w:tc>
          <w:tcPr>
            <w:tcW w:w="1337" w:type="dxa"/>
            <w:gridSpan w:val="2"/>
          </w:tcPr>
          <w:p w14:paraId="0D5AA427" w14:textId="77777777" w:rsidR="00DA2FD3" w:rsidRDefault="00000000">
            <w:pPr>
              <w:jc w:val="center"/>
            </w:pPr>
            <w:r>
              <w:t>$5,475,727.50</w:t>
            </w:r>
          </w:p>
        </w:tc>
        <w:tc>
          <w:tcPr>
            <w:tcW w:w="1337" w:type="dxa"/>
            <w:gridSpan w:val="2"/>
          </w:tcPr>
          <w:p w14:paraId="695829FB" w14:textId="77777777" w:rsidR="00DA2FD3" w:rsidRDefault="00000000">
            <w:pPr>
              <w:jc w:val="center"/>
            </w:pPr>
            <w:r>
              <w:t>$5,232,740.00</w:t>
            </w:r>
          </w:p>
        </w:tc>
        <w:tc>
          <w:tcPr>
            <w:tcW w:w="1337" w:type="dxa"/>
            <w:gridSpan w:val="2"/>
          </w:tcPr>
          <w:p w14:paraId="764F7CC3" w14:textId="77777777" w:rsidR="00DA2FD3" w:rsidRDefault="00000000">
            <w:pPr>
              <w:jc w:val="center"/>
            </w:pPr>
            <w:r>
              <w:t>$6,873,862.50</w:t>
            </w:r>
          </w:p>
        </w:tc>
        <w:tc>
          <w:tcPr>
            <w:tcW w:w="1337" w:type="dxa"/>
          </w:tcPr>
          <w:p w14:paraId="62724B56" w14:textId="77777777" w:rsidR="00DA2FD3" w:rsidRDefault="00000000">
            <w:pPr>
              <w:jc w:val="center"/>
            </w:pPr>
            <w:r>
              <w:t>$1,398,135.00</w:t>
            </w:r>
          </w:p>
        </w:tc>
      </w:tr>
      <w:tr w:rsidR="00DA2FD3" w14:paraId="77BAE7BC" w14:textId="77777777">
        <w:trPr>
          <w:jc w:val="center"/>
        </w:trPr>
        <w:tc>
          <w:tcPr>
            <w:tcW w:w="9360" w:type="dxa"/>
            <w:gridSpan w:val="12"/>
            <w:shd w:val="clear" w:color="auto" w:fill="000080"/>
          </w:tcPr>
          <w:p w14:paraId="67D88032" w14:textId="77777777" w:rsidR="00DA2FD3" w:rsidRDefault="00000000">
            <w:pPr>
              <w:jc w:val="center"/>
            </w:pPr>
            <w:r>
              <w:rPr>
                <w:b/>
                <w:color w:val="FFFFFF"/>
              </w:rPr>
              <w:t>Total Revenue</w:t>
            </w:r>
          </w:p>
        </w:tc>
      </w:tr>
      <w:tr w:rsidR="00DA2FD3" w14:paraId="7F8E783A" w14:textId="77777777">
        <w:trPr>
          <w:jc w:val="center"/>
        </w:trPr>
        <w:tc>
          <w:tcPr>
            <w:tcW w:w="1440" w:type="dxa"/>
            <w:gridSpan w:val="2"/>
            <w:shd w:val="clear" w:color="auto" w:fill="D3D3D3"/>
          </w:tcPr>
          <w:p w14:paraId="585914E0" w14:textId="77777777" w:rsidR="00DA2FD3" w:rsidRDefault="00000000">
            <w:pPr>
              <w:jc w:val="center"/>
            </w:pPr>
            <w:r>
              <w:rPr>
                <w:rFonts w:ascii="Arial" w:hAnsi="Arial"/>
                <w:b/>
                <w:sz w:val="20"/>
              </w:rPr>
              <w:t>NOPD Local Revenue</w:t>
            </w:r>
          </w:p>
        </w:tc>
        <w:tc>
          <w:tcPr>
            <w:tcW w:w="1440" w:type="dxa"/>
            <w:gridSpan w:val="2"/>
            <w:shd w:val="clear" w:color="auto" w:fill="D3D3D3"/>
          </w:tcPr>
          <w:p w14:paraId="6C82BFB2" w14:textId="77777777" w:rsidR="00DA2FD3" w:rsidRDefault="00000000">
            <w:pPr>
              <w:jc w:val="center"/>
            </w:pPr>
            <w:r>
              <w:rPr>
                <w:rFonts w:ascii="Arial" w:hAnsi="Arial"/>
                <w:b/>
                <w:sz w:val="20"/>
              </w:rPr>
              <w:t>NOPD State Revenue</w:t>
            </w:r>
          </w:p>
        </w:tc>
        <w:tc>
          <w:tcPr>
            <w:tcW w:w="1440" w:type="dxa"/>
            <w:gridSpan w:val="2"/>
            <w:shd w:val="clear" w:color="auto" w:fill="D3D3D3"/>
          </w:tcPr>
          <w:p w14:paraId="6F010633" w14:textId="77777777" w:rsidR="00DA2FD3" w:rsidRDefault="00000000">
            <w:pPr>
              <w:jc w:val="center"/>
            </w:pPr>
            <w:r>
              <w:rPr>
                <w:rFonts w:ascii="Arial" w:hAnsi="Arial"/>
                <w:b/>
                <w:sz w:val="20"/>
              </w:rPr>
              <w:t>NOPD Total Revenue</w:t>
            </w:r>
          </w:p>
        </w:tc>
        <w:tc>
          <w:tcPr>
            <w:tcW w:w="1440" w:type="dxa"/>
            <w:gridSpan w:val="2"/>
            <w:shd w:val="clear" w:color="auto" w:fill="D3D3D3"/>
          </w:tcPr>
          <w:p w14:paraId="1557BA02" w14:textId="77777777" w:rsidR="00DA2FD3" w:rsidRDefault="00000000">
            <w:pPr>
              <w:jc w:val="center"/>
            </w:pPr>
            <w:r>
              <w:rPr>
                <w:rFonts w:ascii="Arial" w:hAnsi="Arial"/>
                <w:b/>
                <w:sz w:val="20"/>
              </w:rPr>
              <w:t>NOPD Revenue Local as State</w:t>
            </w:r>
          </w:p>
        </w:tc>
        <w:tc>
          <w:tcPr>
            <w:tcW w:w="1440" w:type="dxa"/>
            <w:gridSpan w:val="2"/>
            <w:shd w:val="clear" w:color="auto" w:fill="D3D3D3"/>
          </w:tcPr>
          <w:p w14:paraId="61878C5B" w14:textId="77777777" w:rsidR="00DA2FD3" w:rsidRDefault="00000000">
            <w:pPr>
              <w:jc w:val="center"/>
            </w:pPr>
            <w:r>
              <w:rPr>
                <w:rFonts w:ascii="Arial" w:hAnsi="Arial"/>
                <w:b/>
                <w:sz w:val="20"/>
              </w:rPr>
              <w:t>Total NOPD Revenue Local as State</w:t>
            </w:r>
          </w:p>
        </w:tc>
        <w:tc>
          <w:tcPr>
            <w:tcW w:w="1440" w:type="dxa"/>
            <w:gridSpan w:val="2"/>
            <w:shd w:val="clear" w:color="auto" w:fill="D3D3D3"/>
          </w:tcPr>
          <w:p w14:paraId="282070A7" w14:textId="77777777" w:rsidR="00DA2FD3" w:rsidRDefault="00000000">
            <w:pPr>
              <w:jc w:val="center"/>
            </w:pPr>
            <w:r>
              <w:rPr>
                <w:rFonts w:ascii="Arial" w:hAnsi="Arial"/>
                <w:b/>
                <w:sz w:val="20"/>
              </w:rPr>
              <w:t>NOPD Lost Revenue</w:t>
            </w:r>
          </w:p>
        </w:tc>
      </w:tr>
      <w:tr w:rsidR="00DA2FD3" w14:paraId="62634AFC" w14:textId="77777777">
        <w:trPr>
          <w:jc w:val="center"/>
        </w:trPr>
        <w:tc>
          <w:tcPr>
            <w:tcW w:w="1560" w:type="dxa"/>
            <w:gridSpan w:val="2"/>
          </w:tcPr>
          <w:p w14:paraId="17A746CE" w14:textId="77777777" w:rsidR="00DA2FD3" w:rsidRDefault="00000000">
            <w:pPr>
              <w:jc w:val="center"/>
            </w:pPr>
            <w:r>
              <w:t>$3,834,605.00</w:t>
            </w:r>
          </w:p>
        </w:tc>
        <w:tc>
          <w:tcPr>
            <w:tcW w:w="1560" w:type="dxa"/>
            <w:gridSpan w:val="2"/>
          </w:tcPr>
          <w:p w14:paraId="0753F860" w14:textId="77777777" w:rsidR="00DA2FD3" w:rsidRDefault="00000000">
            <w:pPr>
              <w:jc w:val="center"/>
            </w:pPr>
            <w:r>
              <w:t>$1,641,122.50</w:t>
            </w:r>
          </w:p>
        </w:tc>
        <w:tc>
          <w:tcPr>
            <w:tcW w:w="1560" w:type="dxa"/>
            <w:gridSpan w:val="2"/>
          </w:tcPr>
          <w:p w14:paraId="3B6C1C72" w14:textId="77777777" w:rsidR="00DA2FD3" w:rsidRDefault="00000000">
            <w:pPr>
              <w:jc w:val="center"/>
            </w:pPr>
            <w:r>
              <w:t>$5,475,727.50</w:t>
            </w:r>
          </w:p>
        </w:tc>
        <w:tc>
          <w:tcPr>
            <w:tcW w:w="1560" w:type="dxa"/>
            <w:gridSpan w:val="2"/>
          </w:tcPr>
          <w:p w14:paraId="3D8C0347" w14:textId="77777777" w:rsidR="00DA2FD3" w:rsidRDefault="00000000">
            <w:pPr>
              <w:jc w:val="center"/>
            </w:pPr>
            <w:r>
              <w:t>$5,232,740.00</w:t>
            </w:r>
          </w:p>
        </w:tc>
        <w:tc>
          <w:tcPr>
            <w:tcW w:w="1560" w:type="dxa"/>
            <w:gridSpan w:val="2"/>
          </w:tcPr>
          <w:p w14:paraId="3F6687AB" w14:textId="77777777" w:rsidR="00DA2FD3" w:rsidRDefault="00000000">
            <w:pPr>
              <w:jc w:val="center"/>
            </w:pPr>
            <w:r>
              <w:t>$6,873,862.50</w:t>
            </w:r>
          </w:p>
        </w:tc>
        <w:tc>
          <w:tcPr>
            <w:tcW w:w="1560" w:type="dxa"/>
            <w:gridSpan w:val="2"/>
          </w:tcPr>
          <w:p w14:paraId="5B6F92E5" w14:textId="77777777" w:rsidR="00DA2FD3" w:rsidRDefault="00000000">
            <w:pPr>
              <w:jc w:val="center"/>
            </w:pPr>
            <w:r>
              <w:t>$1,398,135.00</w:t>
            </w:r>
          </w:p>
        </w:tc>
      </w:tr>
    </w:tbl>
    <w:p w14:paraId="16407FB0" w14:textId="77777777" w:rsidR="00DA2FD3" w:rsidRDefault="00DA2FD3"/>
    <w:p w14:paraId="436F4A1F" w14:textId="77777777" w:rsidR="00DA2FD3" w:rsidRDefault="00000000">
      <w:r>
        <w:rPr>
          <w:noProof/>
        </w:rPr>
        <w:lastRenderedPageBreak/>
        <w:drawing>
          <wp:inline distT="0" distB="0" distL="0" distR="0" wp14:anchorId="4CA41AF3" wp14:editId="4EAAB43E">
            <wp:extent cx="5486400" cy="5226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D_revenue_plot.png"/>
                    <pic:cNvPicPr/>
                  </pic:nvPicPr>
                  <pic:blipFill>
                    <a:blip r:embed="rId10"/>
                    <a:stretch>
                      <a:fillRect/>
                    </a:stretch>
                  </pic:blipFill>
                  <pic:spPr>
                    <a:xfrm>
                      <a:off x="0" y="0"/>
                      <a:ext cx="5486400" cy="5226738"/>
                    </a:xfrm>
                    <a:prstGeom prst="rect">
                      <a:avLst/>
                    </a:prstGeom>
                  </pic:spPr>
                </pic:pic>
              </a:graphicData>
            </a:graphic>
          </wp:inline>
        </w:drawing>
      </w:r>
    </w:p>
    <w:p w14:paraId="1F7B502B" w14:textId="77777777" w:rsidR="00DA2FD3" w:rsidRDefault="00000000">
      <w:r>
        <w:rPr>
          <w:rFonts w:ascii="Arial" w:hAnsi="Arial"/>
        </w:rPr>
        <w:t>Analyzing the citation data, it’s clear that the majority of revenue generated comes from citations for unlawful use of a license, which stands as one of the most costly violations at a local fine of $607.5, resulting in nearly $993,262.5 in revenue. This violation alone significantly contributes to the total revenue, highlighting its critical role in revenue generation from traffic citations. On the other hand, while license plate violations predominantly result in local citations, with a total revenue of $429,187.5, there exists a substantial opportunity for increased revenue in this category. This is due to the stark contrast in fines between local and state citations; the state fine for license plate violations is almost double the local fine, indicating a potential increase in revenue if citations are issued under state laws. With the state fine for license plate violations being $302.5 compared to the local fine of $157.5, migrating toward state citations for these violations could significantly enhance the overall revenue, demonstrating a notable area for financial growth in citation management.</w:t>
      </w:r>
    </w:p>
    <w:p w14:paraId="58BF5158" w14:textId="77777777" w:rsidR="00DA2FD3" w:rsidRDefault="00DA2FD3"/>
    <w:tbl>
      <w:tblPr>
        <w:tblStyle w:val="TableGrid"/>
        <w:tblW w:w="0" w:type="auto"/>
        <w:jc w:val="center"/>
        <w:tblLayout w:type="fixed"/>
        <w:tblLook w:val="04A0" w:firstRow="1" w:lastRow="0" w:firstColumn="1" w:lastColumn="0" w:noHBand="0" w:noVBand="1"/>
      </w:tblPr>
      <w:tblGrid>
        <w:gridCol w:w="4680"/>
        <w:gridCol w:w="4680"/>
      </w:tblGrid>
      <w:tr w:rsidR="00DA2FD3" w14:paraId="2E81A349" w14:textId="77777777">
        <w:trPr>
          <w:jc w:val="center"/>
        </w:trPr>
        <w:tc>
          <w:tcPr>
            <w:tcW w:w="9360" w:type="dxa"/>
            <w:gridSpan w:val="2"/>
            <w:shd w:val="clear" w:color="auto" w:fill="000080"/>
          </w:tcPr>
          <w:p w14:paraId="3EA08100" w14:textId="77777777" w:rsidR="00DA2FD3" w:rsidRDefault="00000000">
            <w:pPr>
              <w:jc w:val="center"/>
            </w:pPr>
            <w:r>
              <w:rPr>
                <w:b/>
                <w:color w:val="FFFFFF"/>
              </w:rPr>
              <w:t>Financial Impact Analysis</w:t>
            </w:r>
          </w:p>
        </w:tc>
      </w:tr>
      <w:tr w:rsidR="00DA2FD3" w14:paraId="7FF500E0" w14:textId="77777777">
        <w:trPr>
          <w:jc w:val="center"/>
        </w:trPr>
        <w:tc>
          <w:tcPr>
            <w:tcW w:w="1440" w:type="dxa"/>
            <w:shd w:val="clear" w:color="auto" w:fill="D3D3D3"/>
          </w:tcPr>
          <w:p w14:paraId="3E61E988" w14:textId="77777777" w:rsidR="00DA2FD3" w:rsidRDefault="00000000">
            <w:pPr>
              <w:jc w:val="center"/>
            </w:pPr>
            <w:r>
              <w:rPr>
                <w:rFonts w:ascii="Arial" w:hAnsi="Arial"/>
                <w:b/>
                <w:sz w:val="20"/>
              </w:rPr>
              <w:t>Description</w:t>
            </w:r>
          </w:p>
        </w:tc>
        <w:tc>
          <w:tcPr>
            <w:tcW w:w="1440" w:type="dxa"/>
            <w:shd w:val="clear" w:color="auto" w:fill="D3D3D3"/>
          </w:tcPr>
          <w:p w14:paraId="4D48E138" w14:textId="77777777" w:rsidR="00DA2FD3" w:rsidRDefault="00000000">
            <w:pPr>
              <w:jc w:val="center"/>
            </w:pPr>
            <w:r>
              <w:rPr>
                <w:rFonts w:ascii="Arial" w:hAnsi="Arial"/>
                <w:b/>
                <w:sz w:val="20"/>
              </w:rPr>
              <w:t>Value</w:t>
            </w:r>
          </w:p>
        </w:tc>
      </w:tr>
      <w:tr w:rsidR="00DA2FD3" w14:paraId="7097AB00" w14:textId="77777777">
        <w:trPr>
          <w:jc w:val="center"/>
        </w:trPr>
        <w:tc>
          <w:tcPr>
            <w:tcW w:w="4680" w:type="dxa"/>
          </w:tcPr>
          <w:p w14:paraId="752F81EA" w14:textId="77777777" w:rsidR="00DA2FD3" w:rsidRDefault="00000000">
            <w:pPr>
              <w:jc w:val="center"/>
            </w:pPr>
            <w:r>
              <w:lastRenderedPageBreak/>
              <w:t>Average Monthly Lost Revenue</w:t>
            </w:r>
          </w:p>
        </w:tc>
        <w:tc>
          <w:tcPr>
            <w:tcW w:w="4680" w:type="dxa"/>
          </w:tcPr>
          <w:p w14:paraId="3A97E778" w14:textId="77777777" w:rsidR="00DA2FD3" w:rsidRDefault="00000000">
            <w:pPr>
              <w:jc w:val="center"/>
            </w:pPr>
            <w:r>
              <w:t>$116,511.25</w:t>
            </w:r>
          </w:p>
        </w:tc>
      </w:tr>
      <w:tr w:rsidR="00DA2FD3" w14:paraId="37B61BC7" w14:textId="77777777">
        <w:trPr>
          <w:jc w:val="center"/>
        </w:trPr>
        <w:tc>
          <w:tcPr>
            <w:tcW w:w="4680" w:type="dxa"/>
          </w:tcPr>
          <w:p w14:paraId="058818FD" w14:textId="77777777" w:rsidR="00DA2FD3" w:rsidRDefault="00000000">
            <w:pPr>
              <w:jc w:val="center"/>
            </w:pPr>
            <w:r>
              <w:t>Annualized Lost Revenue</w:t>
            </w:r>
          </w:p>
        </w:tc>
        <w:tc>
          <w:tcPr>
            <w:tcW w:w="4680" w:type="dxa"/>
          </w:tcPr>
          <w:p w14:paraId="51334A4C" w14:textId="77777777" w:rsidR="00DA2FD3" w:rsidRDefault="00000000">
            <w:pPr>
              <w:jc w:val="center"/>
            </w:pPr>
            <w:r>
              <w:t>$1,398,135.00</w:t>
            </w:r>
          </w:p>
        </w:tc>
      </w:tr>
      <w:tr w:rsidR="00DA2FD3" w14:paraId="637B56E9" w14:textId="77777777">
        <w:trPr>
          <w:jc w:val="center"/>
        </w:trPr>
        <w:tc>
          <w:tcPr>
            <w:tcW w:w="4680" w:type="dxa"/>
          </w:tcPr>
          <w:p w14:paraId="605476C9" w14:textId="77777777" w:rsidR="00DA2FD3" w:rsidRDefault="00000000">
            <w:pPr>
              <w:jc w:val="center"/>
            </w:pPr>
            <w:r>
              <w:t>Collection Rate</w:t>
            </w:r>
          </w:p>
        </w:tc>
        <w:tc>
          <w:tcPr>
            <w:tcW w:w="4680" w:type="dxa"/>
          </w:tcPr>
          <w:p w14:paraId="235DE087" w14:textId="77777777" w:rsidR="00DA2FD3" w:rsidRDefault="00000000">
            <w:pPr>
              <w:jc w:val="center"/>
            </w:pPr>
            <w:r>
              <w:t>$0.21</w:t>
            </w:r>
          </w:p>
        </w:tc>
      </w:tr>
      <w:tr w:rsidR="00DA2FD3" w14:paraId="01EFC2E9" w14:textId="77777777">
        <w:trPr>
          <w:jc w:val="center"/>
        </w:trPr>
        <w:tc>
          <w:tcPr>
            <w:tcW w:w="4680" w:type="dxa"/>
          </w:tcPr>
          <w:p w14:paraId="0DC20782" w14:textId="77777777" w:rsidR="00DA2FD3" w:rsidRDefault="00000000">
            <w:pPr>
              <w:jc w:val="center"/>
            </w:pPr>
            <w:r>
              <w:t>Estimated Annual Revenue Impact</w:t>
            </w:r>
          </w:p>
        </w:tc>
        <w:tc>
          <w:tcPr>
            <w:tcW w:w="4680" w:type="dxa"/>
          </w:tcPr>
          <w:p w14:paraId="67A6B80D" w14:textId="77777777" w:rsidR="00DA2FD3" w:rsidRDefault="00000000">
            <w:pPr>
              <w:jc w:val="center"/>
            </w:pPr>
            <w:r>
              <w:t>$293,608.35</w:t>
            </w:r>
          </w:p>
        </w:tc>
      </w:tr>
    </w:tbl>
    <w:p w14:paraId="6615259B" w14:textId="77777777" w:rsidR="00DA2FD3" w:rsidRDefault="00000000">
      <w:r>
        <w:rPr>
          <w:rFonts w:ascii="Arial" w:hAnsi="Arial"/>
        </w:rPr>
        <w:t>Diving into the financial impact of the New Orleans Police Department's (NOPD) current practices for issuing traffic citations, we've uncovered some eye-opening figures. Our analysis reveals an average monthly lost revenue of $116,511.25, due to the choice between citing drivers under local ordinances versus state codes, which carry higher fines. This misstep amounts to an annualized lost revenue potential of $1,398,135.00. This substantial leakage represents a missed opportunity in strengthening the city's financial standing, especially when considering the challenging budgetary constraints many city departments face.</w:t>
      </w:r>
      <w:r>
        <w:rPr>
          <w:rFonts w:ascii="Arial" w:hAnsi="Arial"/>
        </w:rPr>
        <w:br/>
      </w:r>
      <w:r>
        <w:rPr>
          <w:rFonts w:ascii="Arial" w:hAnsi="Arial"/>
        </w:rPr>
        <w:br/>
        <w:t>Moreover, when estimating the potential revenue impact of adjusting NOPD’s citation practices to favor state codes, we discern a possible enhancement to the annual budget by approximately $293,608.35. This adjustment not only demonstrates the significant impact of optimal citation practices on the city’s budget but also underscores the importance of strategic decisions in law enforcement practices. The variance between local and state citation revenues brings to light the critical role of policy and procedure alignment with financial sustainability goals.</w:t>
      </w:r>
      <w:r>
        <w:rPr>
          <w:rFonts w:ascii="Arial" w:hAnsi="Arial"/>
        </w:rPr>
        <w:br/>
      </w:r>
      <w:r>
        <w:rPr>
          <w:rFonts w:ascii="Arial" w:hAnsi="Arial"/>
        </w:rPr>
        <w:br/>
        <w:t>To plug this revenue leak and capitalize on the untapped financial resource, the NOPD could adopt a more strategic approach to issuing traffic citations. Focusing efforts on maximizing revenues through the adoption of state codes for traffic violations could not only recover the over $1.39 million lost annually but could also bolster the city's budget to a notable extent. This strategy not only offers a financial uplift but could also foster a closer adherence to state-level legal standards, ensuring a more robust alignment between local law enforcement practices and state laws. The implications of our findings suggest a pivotal opportunity for the NOPD to refine its operational practices, thereby significantly enhancing fiscal health and compliance.</w:t>
      </w:r>
    </w:p>
    <w:p w14:paraId="545097A8" w14:textId="77777777" w:rsidR="00DA2FD3" w:rsidRDefault="00DA2FD3"/>
    <w:p w14:paraId="32D6EB8A" w14:textId="77777777" w:rsidR="00DA2FD3" w:rsidRDefault="00000000">
      <w:r>
        <w:rPr>
          <w:rFonts w:ascii="Arial" w:hAnsi="Arial"/>
          <w:b/>
          <w:sz w:val="22"/>
        </w:rPr>
        <w:t>RECOMMENDATION</w:t>
      </w:r>
    </w:p>
    <w:p w14:paraId="7A16C8FF" w14:textId="77777777" w:rsidR="00DA2FD3" w:rsidRDefault="00000000">
      <w:r>
        <w:rPr>
          <w:rFonts w:ascii="Arial" w:hAnsi="Arial"/>
        </w:rPr>
        <w:t>Upon detailed analysis of the New Orleans Police Department's (NOPD) traffic citation practices and their impacts on the city's budget, it is evident that the choice between citing drivers for violations of local traffic ordinances versus state traffic laws has significant revenue implications. Our findings show a substantial annual lost revenue of approximately $1,398,135 due to NOPD opting more frequently for local citations over state citations, even though state code violations impose higher fines. The analysis revealed an average monthly lost revenue of $116,511.25, underscoring the potential financial benefit of adjusting citation practices. Furthermore, with a collection rate of just 21%, there's an estimated annual revenue impact of $293,608.35 that could be realized through optimizing citation strategies to favor state code violations where applicable.</w:t>
      </w:r>
      <w:r>
        <w:rPr>
          <w:rFonts w:ascii="Arial" w:hAnsi="Arial"/>
        </w:rPr>
        <w:br/>
      </w:r>
      <w:r>
        <w:rPr>
          <w:rFonts w:ascii="Arial" w:hAnsi="Arial"/>
        </w:rPr>
        <w:br/>
        <w:t xml:space="preserve">During discussions, a NOPD traffic citation investigator shed light on the rationale behind the choice of citation type. According to them, NOPD personnel use state statutes to issue citations for more serious violations as a means of imposing stiffer </w:t>
      </w:r>
      <w:r>
        <w:rPr>
          <w:rFonts w:ascii="Arial" w:hAnsi="Arial"/>
        </w:rPr>
        <w:lastRenderedPageBreak/>
        <w:t>penalties on more egregious offenders. This discretionary practice denotes NOPD's approach towards balancing public safety concerns with punitive measures. However, this approach, while possibly effective for law enforcement purposes, poses challenges for maximizing revenue without compromising the principle of fairness in enforcement.</w:t>
      </w:r>
      <w:r>
        <w:rPr>
          <w:rFonts w:ascii="Arial" w:hAnsi="Arial"/>
        </w:rPr>
        <w:br/>
      </w:r>
      <w:r>
        <w:rPr>
          <w:rFonts w:ascii="Arial" w:hAnsi="Arial"/>
        </w:rPr>
        <w:br/>
        <w:t>Given these findings, it is recommended that the NOPD and city administration collaborate to review and potentially recalibrate the current citation practices. A balanced approach could involve developing a clear guideline that considers both the severity of the violation and the revenue implications of choosing between local and state citations. Such guidelines should aim to maximize revenue without undermining NOPD's discretion to address serious traffic violations more stringently.</w:t>
      </w:r>
      <w:r>
        <w:rPr>
          <w:rFonts w:ascii="Arial" w:hAnsi="Arial"/>
        </w:rPr>
        <w:br/>
      </w:r>
      <w:r>
        <w:rPr>
          <w:rFonts w:ascii="Arial" w:hAnsi="Arial"/>
        </w:rPr>
        <w:br/>
        <w:t>To leverage the potential revenue increase, further steps could include targeted training for officers on the new guidelines, coupled with periodic reviews to assess compliance and effectiveness. Additionally, increasing public awareness about the consequences of traffic violations under both local and state laws might serve as a deterrent, thereby enhancing overall traffic safety.</w:t>
      </w:r>
      <w:r>
        <w:rPr>
          <w:rFonts w:ascii="Arial" w:hAnsi="Arial"/>
        </w:rPr>
        <w:br/>
      </w:r>
      <w:r>
        <w:rPr>
          <w:rFonts w:ascii="Arial" w:hAnsi="Arial"/>
        </w:rPr>
        <w:br/>
        <w:t>Implementing these recommendations could enable the NOPD to maintain its operational integrity while also contributing to a significant boost in annual revenue for the city. Ultimately, the goal is to strike an optimal balance between law enforcement efficacy and revenue generation, without compromising public safety or the equitable application of traffic laws.</w:t>
      </w:r>
    </w:p>
    <w:sectPr w:rsidR="00DA2FD3" w:rsidSect="006B0FDA">
      <w:footerReference w:type="even" r:id="rId11"/>
      <w:footerReference w:type="default" r:id="rId12"/>
      <w:footerReference w:type="first" r:id="rId13"/>
      <w:type w:val="continuous"/>
      <w:pgSz w:w="12240" w:h="15840"/>
      <w:pgMar w:top="1440" w:right="1440" w:bottom="108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20229" w14:textId="77777777" w:rsidR="003E1996" w:rsidRDefault="003E1996">
      <w:r>
        <w:separator/>
      </w:r>
    </w:p>
  </w:endnote>
  <w:endnote w:type="continuationSeparator" w:id="0">
    <w:p w14:paraId="559C505C" w14:textId="77777777" w:rsidR="003E1996" w:rsidRDefault="003E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2C5FD" w14:textId="77777777" w:rsidR="00040F66" w:rsidRDefault="00162285" w:rsidP="00442251">
    <w:pPr>
      <w:pStyle w:val="Footer"/>
      <w:framePr w:wrap="around" w:vAnchor="text" w:hAnchor="margin" w:xAlign="center" w:y="1"/>
      <w:rPr>
        <w:rStyle w:val="PageNumber"/>
      </w:rPr>
    </w:pPr>
    <w:r>
      <w:rPr>
        <w:rStyle w:val="PageNumber"/>
      </w:rPr>
      <w:fldChar w:fldCharType="begin"/>
    </w:r>
    <w:r w:rsidR="00040F66">
      <w:rPr>
        <w:rStyle w:val="PageNumber"/>
      </w:rPr>
      <w:instrText xml:space="preserve">PAGE  </w:instrText>
    </w:r>
    <w:r>
      <w:rPr>
        <w:rStyle w:val="PageNumber"/>
      </w:rPr>
      <w:fldChar w:fldCharType="end"/>
    </w:r>
  </w:p>
  <w:p w14:paraId="618265BF" w14:textId="77777777" w:rsidR="00040F66" w:rsidRDefault="00040F66">
    <w:pPr>
      <w:pStyle w:val="Footer"/>
    </w:pPr>
  </w:p>
  <w:p w14:paraId="6286420D" w14:textId="77777777" w:rsidR="008B08B9" w:rsidRDefault="008B08B9"/>
  <w:p w14:paraId="53A0DB9E" w14:textId="77777777" w:rsidR="008B08B9" w:rsidRDefault="008B08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2FF37" w14:textId="77777777" w:rsidR="00040F66" w:rsidRDefault="00162285" w:rsidP="00442251">
    <w:pPr>
      <w:pStyle w:val="Footer"/>
      <w:framePr w:wrap="around" w:vAnchor="text" w:hAnchor="margin" w:xAlign="center" w:y="1"/>
      <w:rPr>
        <w:rStyle w:val="PageNumber"/>
      </w:rPr>
    </w:pPr>
    <w:r>
      <w:rPr>
        <w:rStyle w:val="PageNumber"/>
      </w:rPr>
      <w:fldChar w:fldCharType="begin"/>
    </w:r>
    <w:r w:rsidR="00040F66">
      <w:rPr>
        <w:rStyle w:val="PageNumber"/>
      </w:rPr>
      <w:instrText xml:space="preserve">PAGE  </w:instrText>
    </w:r>
    <w:r>
      <w:rPr>
        <w:rStyle w:val="PageNumber"/>
      </w:rPr>
      <w:fldChar w:fldCharType="separate"/>
    </w:r>
    <w:r w:rsidR="000E22AB">
      <w:rPr>
        <w:rStyle w:val="PageNumber"/>
        <w:noProof/>
      </w:rPr>
      <w:t>- 3 -</w:t>
    </w:r>
    <w:r>
      <w:rPr>
        <w:rStyle w:val="PageNumber"/>
      </w:rPr>
      <w:fldChar w:fldCharType="end"/>
    </w:r>
  </w:p>
  <w:p w14:paraId="1AE5A565" w14:textId="77777777" w:rsidR="00040F66" w:rsidRDefault="00040F66">
    <w:pPr>
      <w:pStyle w:val="Footer"/>
    </w:pPr>
  </w:p>
  <w:p w14:paraId="7706C0F2" w14:textId="77777777" w:rsidR="008B08B9" w:rsidRDefault="008B08B9"/>
  <w:p w14:paraId="5924F907" w14:textId="77777777" w:rsidR="008B08B9" w:rsidRDefault="008B08B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E967C" w14:textId="77777777" w:rsidR="00811C4C" w:rsidRPr="00811C4C" w:rsidRDefault="00811C4C" w:rsidP="00811C4C">
    <w:pPr>
      <w:pStyle w:val="Footer"/>
      <w:jc w:val="center"/>
    </w:pPr>
    <w:r w:rsidRPr="00811C4C">
      <w:t xml:space="preserve">Page </w:t>
    </w:r>
    <w:r w:rsidRPr="00811C4C">
      <w:fldChar w:fldCharType="begin"/>
    </w:r>
    <w:r w:rsidRPr="00811C4C">
      <w:instrText xml:space="preserve"> PAGE  \* Arabic  \* MERGEFORMAT </w:instrText>
    </w:r>
    <w:r w:rsidRPr="00811C4C">
      <w:fldChar w:fldCharType="separate"/>
    </w:r>
    <w:r w:rsidRPr="00811C4C">
      <w:rPr>
        <w:noProof/>
      </w:rPr>
      <w:t>1</w:t>
    </w:r>
    <w:r w:rsidRPr="00811C4C">
      <w:fldChar w:fldCharType="end"/>
    </w:r>
    <w:r w:rsidRPr="00811C4C">
      <w:t xml:space="preserve"> of </w:t>
    </w:r>
    <w:fldSimple w:instr=" NUMPAGES  \* Arabic  \* MERGEFORMAT ">
      <w:r w:rsidRPr="00811C4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8960B" w14:textId="77777777" w:rsidR="003E1996" w:rsidRDefault="003E1996">
      <w:r>
        <w:separator/>
      </w:r>
    </w:p>
  </w:footnote>
  <w:footnote w:type="continuationSeparator" w:id="0">
    <w:p w14:paraId="68E0543A" w14:textId="77777777" w:rsidR="003E1996" w:rsidRDefault="003E1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91265"/>
    <w:multiLevelType w:val="hybridMultilevel"/>
    <w:tmpl w:val="C4C42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E71ED"/>
    <w:multiLevelType w:val="hybridMultilevel"/>
    <w:tmpl w:val="A75E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D79D5"/>
    <w:multiLevelType w:val="hybridMultilevel"/>
    <w:tmpl w:val="84926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D1078D"/>
    <w:multiLevelType w:val="hybridMultilevel"/>
    <w:tmpl w:val="D74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CE4ECB"/>
    <w:multiLevelType w:val="hybridMultilevel"/>
    <w:tmpl w:val="35043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37562B"/>
    <w:multiLevelType w:val="hybridMultilevel"/>
    <w:tmpl w:val="F3E09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6340AA6"/>
    <w:multiLevelType w:val="hybridMultilevel"/>
    <w:tmpl w:val="81D8A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8E3719D"/>
    <w:multiLevelType w:val="hybridMultilevel"/>
    <w:tmpl w:val="CFDA96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4966E2"/>
    <w:multiLevelType w:val="hybridMultilevel"/>
    <w:tmpl w:val="5ED6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166914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9821938">
    <w:abstractNumId w:val="6"/>
  </w:num>
  <w:num w:numId="3" w16cid:durableId="1061752771">
    <w:abstractNumId w:val="4"/>
  </w:num>
  <w:num w:numId="4" w16cid:durableId="521824062">
    <w:abstractNumId w:val="8"/>
  </w:num>
  <w:num w:numId="5" w16cid:durableId="1035273815">
    <w:abstractNumId w:val="0"/>
  </w:num>
  <w:num w:numId="6" w16cid:durableId="1868717910">
    <w:abstractNumId w:val="3"/>
  </w:num>
  <w:num w:numId="7" w16cid:durableId="425881682">
    <w:abstractNumId w:val="2"/>
  </w:num>
  <w:num w:numId="8" w16cid:durableId="1852601826">
    <w:abstractNumId w:val="7"/>
  </w:num>
  <w:num w:numId="9" w16cid:durableId="14076047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BF"/>
    <w:rsid w:val="00000815"/>
    <w:rsid w:val="0000251D"/>
    <w:rsid w:val="00005B9E"/>
    <w:rsid w:val="000107A9"/>
    <w:rsid w:val="0001425E"/>
    <w:rsid w:val="00021857"/>
    <w:rsid w:val="00022717"/>
    <w:rsid w:val="0002483C"/>
    <w:rsid w:val="00027421"/>
    <w:rsid w:val="0003164E"/>
    <w:rsid w:val="0003246F"/>
    <w:rsid w:val="00032558"/>
    <w:rsid w:val="000379D4"/>
    <w:rsid w:val="00037F4A"/>
    <w:rsid w:val="00040F5C"/>
    <w:rsid w:val="00040F66"/>
    <w:rsid w:val="00041B52"/>
    <w:rsid w:val="0004468A"/>
    <w:rsid w:val="00045007"/>
    <w:rsid w:val="00046D5C"/>
    <w:rsid w:val="00050DA5"/>
    <w:rsid w:val="00056ED1"/>
    <w:rsid w:val="00063520"/>
    <w:rsid w:val="00065190"/>
    <w:rsid w:val="0006768F"/>
    <w:rsid w:val="00067A44"/>
    <w:rsid w:val="000712CA"/>
    <w:rsid w:val="000728BA"/>
    <w:rsid w:val="00073ABC"/>
    <w:rsid w:val="00075337"/>
    <w:rsid w:val="00090F9E"/>
    <w:rsid w:val="000917B1"/>
    <w:rsid w:val="0009440B"/>
    <w:rsid w:val="00097992"/>
    <w:rsid w:val="000A00FA"/>
    <w:rsid w:val="000A3384"/>
    <w:rsid w:val="000A6C02"/>
    <w:rsid w:val="000B017F"/>
    <w:rsid w:val="000B3B70"/>
    <w:rsid w:val="000B7EC9"/>
    <w:rsid w:val="000C07BF"/>
    <w:rsid w:val="000C07F8"/>
    <w:rsid w:val="000C24FB"/>
    <w:rsid w:val="000C646D"/>
    <w:rsid w:val="000D0DAA"/>
    <w:rsid w:val="000D2D7C"/>
    <w:rsid w:val="000E12A1"/>
    <w:rsid w:val="000E22AB"/>
    <w:rsid w:val="000E3C87"/>
    <w:rsid w:val="000E3E41"/>
    <w:rsid w:val="000E456B"/>
    <w:rsid w:val="000E45AA"/>
    <w:rsid w:val="000E5509"/>
    <w:rsid w:val="000E6190"/>
    <w:rsid w:val="000F19A0"/>
    <w:rsid w:val="000F2A97"/>
    <w:rsid w:val="000F2DCA"/>
    <w:rsid w:val="000F517E"/>
    <w:rsid w:val="000F5579"/>
    <w:rsid w:val="000F64E7"/>
    <w:rsid w:val="001026D2"/>
    <w:rsid w:val="00106FCA"/>
    <w:rsid w:val="00111BCB"/>
    <w:rsid w:val="00113C7D"/>
    <w:rsid w:val="001211BE"/>
    <w:rsid w:val="001252D7"/>
    <w:rsid w:val="00126770"/>
    <w:rsid w:val="001306BD"/>
    <w:rsid w:val="001344EE"/>
    <w:rsid w:val="0014141C"/>
    <w:rsid w:val="00141A97"/>
    <w:rsid w:val="001465B9"/>
    <w:rsid w:val="00147912"/>
    <w:rsid w:val="00150119"/>
    <w:rsid w:val="00150952"/>
    <w:rsid w:val="0015145C"/>
    <w:rsid w:val="00157E83"/>
    <w:rsid w:val="00162285"/>
    <w:rsid w:val="00163146"/>
    <w:rsid w:val="001659F1"/>
    <w:rsid w:val="001666D2"/>
    <w:rsid w:val="00170519"/>
    <w:rsid w:val="001737D5"/>
    <w:rsid w:val="00176C45"/>
    <w:rsid w:val="00177B90"/>
    <w:rsid w:val="00177D9B"/>
    <w:rsid w:val="001824B5"/>
    <w:rsid w:val="00182AFD"/>
    <w:rsid w:val="001843C2"/>
    <w:rsid w:val="001857E5"/>
    <w:rsid w:val="0019717D"/>
    <w:rsid w:val="001A0C56"/>
    <w:rsid w:val="001A399F"/>
    <w:rsid w:val="001A409E"/>
    <w:rsid w:val="001B66AF"/>
    <w:rsid w:val="001B71D8"/>
    <w:rsid w:val="001C09AB"/>
    <w:rsid w:val="001C0FCF"/>
    <w:rsid w:val="001C35EC"/>
    <w:rsid w:val="001C46EA"/>
    <w:rsid w:val="001C5802"/>
    <w:rsid w:val="001C7294"/>
    <w:rsid w:val="001D1376"/>
    <w:rsid w:val="001D4FE0"/>
    <w:rsid w:val="001D739D"/>
    <w:rsid w:val="001D7DEE"/>
    <w:rsid w:val="001E74E2"/>
    <w:rsid w:val="001F05F5"/>
    <w:rsid w:val="001F0D7B"/>
    <w:rsid w:val="001F2871"/>
    <w:rsid w:val="001F74F0"/>
    <w:rsid w:val="00200043"/>
    <w:rsid w:val="00203771"/>
    <w:rsid w:val="0021461A"/>
    <w:rsid w:val="00214772"/>
    <w:rsid w:val="00216A6E"/>
    <w:rsid w:val="00221748"/>
    <w:rsid w:val="002226F2"/>
    <w:rsid w:val="00224B7D"/>
    <w:rsid w:val="00231058"/>
    <w:rsid w:val="002348C9"/>
    <w:rsid w:val="0024011D"/>
    <w:rsid w:val="00242A27"/>
    <w:rsid w:val="00242A28"/>
    <w:rsid w:val="00242B49"/>
    <w:rsid w:val="00242D62"/>
    <w:rsid w:val="002471CD"/>
    <w:rsid w:val="002501F5"/>
    <w:rsid w:val="002509EF"/>
    <w:rsid w:val="002603F1"/>
    <w:rsid w:val="0026302F"/>
    <w:rsid w:val="002638B6"/>
    <w:rsid w:val="0026418B"/>
    <w:rsid w:val="002663BE"/>
    <w:rsid w:val="00272B64"/>
    <w:rsid w:val="00274249"/>
    <w:rsid w:val="0028137D"/>
    <w:rsid w:val="0028192F"/>
    <w:rsid w:val="0028495D"/>
    <w:rsid w:val="00286CED"/>
    <w:rsid w:val="002A1D6D"/>
    <w:rsid w:val="002A70D7"/>
    <w:rsid w:val="002B02B7"/>
    <w:rsid w:val="002B31C9"/>
    <w:rsid w:val="002B6899"/>
    <w:rsid w:val="002B6971"/>
    <w:rsid w:val="002B7C3D"/>
    <w:rsid w:val="002C0074"/>
    <w:rsid w:val="002C19C6"/>
    <w:rsid w:val="002C1DA9"/>
    <w:rsid w:val="002D2237"/>
    <w:rsid w:val="002D3723"/>
    <w:rsid w:val="002D7C9D"/>
    <w:rsid w:val="002E0661"/>
    <w:rsid w:val="002E6128"/>
    <w:rsid w:val="002F3B40"/>
    <w:rsid w:val="002F6563"/>
    <w:rsid w:val="002F7A81"/>
    <w:rsid w:val="00316C99"/>
    <w:rsid w:val="00322712"/>
    <w:rsid w:val="0032560C"/>
    <w:rsid w:val="0032699A"/>
    <w:rsid w:val="003307FB"/>
    <w:rsid w:val="00333539"/>
    <w:rsid w:val="003346C7"/>
    <w:rsid w:val="00336D5B"/>
    <w:rsid w:val="00340C1F"/>
    <w:rsid w:val="00341577"/>
    <w:rsid w:val="0034371D"/>
    <w:rsid w:val="00355626"/>
    <w:rsid w:val="003563AF"/>
    <w:rsid w:val="0035686C"/>
    <w:rsid w:val="00361F41"/>
    <w:rsid w:val="0036474A"/>
    <w:rsid w:val="00364872"/>
    <w:rsid w:val="00381A5C"/>
    <w:rsid w:val="003844D7"/>
    <w:rsid w:val="00385613"/>
    <w:rsid w:val="003A5A1F"/>
    <w:rsid w:val="003A7DB0"/>
    <w:rsid w:val="003B2D6D"/>
    <w:rsid w:val="003B30D1"/>
    <w:rsid w:val="003B4035"/>
    <w:rsid w:val="003B6B7E"/>
    <w:rsid w:val="003B71DB"/>
    <w:rsid w:val="003C2CC1"/>
    <w:rsid w:val="003C592A"/>
    <w:rsid w:val="003D5E8F"/>
    <w:rsid w:val="003E05A9"/>
    <w:rsid w:val="003E1996"/>
    <w:rsid w:val="003E3A17"/>
    <w:rsid w:val="003E4D34"/>
    <w:rsid w:val="003E5737"/>
    <w:rsid w:val="003E6D01"/>
    <w:rsid w:val="003E7739"/>
    <w:rsid w:val="003E7EE9"/>
    <w:rsid w:val="003F3A78"/>
    <w:rsid w:val="003F3AE7"/>
    <w:rsid w:val="003F4F63"/>
    <w:rsid w:val="003F7DC8"/>
    <w:rsid w:val="00405C0F"/>
    <w:rsid w:val="00411D3C"/>
    <w:rsid w:val="00415F5D"/>
    <w:rsid w:val="00420DDC"/>
    <w:rsid w:val="004270DF"/>
    <w:rsid w:val="00427275"/>
    <w:rsid w:val="004303AF"/>
    <w:rsid w:val="004304D1"/>
    <w:rsid w:val="0043587C"/>
    <w:rsid w:val="00435C23"/>
    <w:rsid w:val="0043667A"/>
    <w:rsid w:val="00442251"/>
    <w:rsid w:val="0045128A"/>
    <w:rsid w:val="00454266"/>
    <w:rsid w:val="00454D21"/>
    <w:rsid w:val="00455AB1"/>
    <w:rsid w:val="004603A7"/>
    <w:rsid w:val="00461108"/>
    <w:rsid w:val="00461BBE"/>
    <w:rsid w:val="00462D5F"/>
    <w:rsid w:val="004669CA"/>
    <w:rsid w:val="00471FE8"/>
    <w:rsid w:val="00474CBB"/>
    <w:rsid w:val="00482C53"/>
    <w:rsid w:val="004900A4"/>
    <w:rsid w:val="0049034E"/>
    <w:rsid w:val="004964D8"/>
    <w:rsid w:val="00497860"/>
    <w:rsid w:val="004A3B7E"/>
    <w:rsid w:val="004A667D"/>
    <w:rsid w:val="004B2346"/>
    <w:rsid w:val="004B259C"/>
    <w:rsid w:val="004B44F3"/>
    <w:rsid w:val="004B4763"/>
    <w:rsid w:val="004C20AF"/>
    <w:rsid w:val="004C2367"/>
    <w:rsid w:val="004C5C05"/>
    <w:rsid w:val="004C5D68"/>
    <w:rsid w:val="004C79C4"/>
    <w:rsid w:val="004D5937"/>
    <w:rsid w:val="004E01B4"/>
    <w:rsid w:val="004E155D"/>
    <w:rsid w:val="004E1FF4"/>
    <w:rsid w:val="004E2BB0"/>
    <w:rsid w:val="004E769E"/>
    <w:rsid w:val="004E7A9F"/>
    <w:rsid w:val="004F0234"/>
    <w:rsid w:val="004F63E7"/>
    <w:rsid w:val="005020F1"/>
    <w:rsid w:val="005070F1"/>
    <w:rsid w:val="0050789D"/>
    <w:rsid w:val="005078A0"/>
    <w:rsid w:val="00513385"/>
    <w:rsid w:val="00513B03"/>
    <w:rsid w:val="00514A72"/>
    <w:rsid w:val="00515E8D"/>
    <w:rsid w:val="00520363"/>
    <w:rsid w:val="0052631E"/>
    <w:rsid w:val="0052715E"/>
    <w:rsid w:val="005276B2"/>
    <w:rsid w:val="00535339"/>
    <w:rsid w:val="00536038"/>
    <w:rsid w:val="00537965"/>
    <w:rsid w:val="00537BF1"/>
    <w:rsid w:val="00543010"/>
    <w:rsid w:val="00543B0A"/>
    <w:rsid w:val="00545D16"/>
    <w:rsid w:val="00546F23"/>
    <w:rsid w:val="00547BAC"/>
    <w:rsid w:val="00547E8C"/>
    <w:rsid w:val="00565A84"/>
    <w:rsid w:val="00566065"/>
    <w:rsid w:val="00567A29"/>
    <w:rsid w:val="00567BA3"/>
    <w:rsid w:val="00570B3C"/>
    <w:rsid w:val="00576377"/>
    <w:rsid w:val="005767FD"/>
    <w:rsid w:val="0058295A"/>
    <w:rsid w:val="0058356B"/>
    <w:rsid w:val="005851F7"/>
    <w:rsid w:val="00586873"/>
    <w:rsid w:val="005944D3"/>
    <w:rsid w:val="005A5155"/>
    <w:rsid w:val="005B03AA"/>
    <w:rsid w:val="005B3499"/>
    <w:rsid w:val="005B4360"/>
    <w:rsid w:val="005B719A"/>
    <w:rsid w:val="005C1866"/>
    <w:rsid w:val="005C2968"/>
    <w:rsid w:val="005C4E51"/>
    <w:rsid w:val="005C594F"/>
    <w:rsid w:val="005C5B16"/>
    <w:rsid w:val="005D0955"/>
    <w:rsid w:val="005D0B1E"/>
    <w:rsid w:val="005D6B4D"/>
    <w:rsid w:val="005E13D6"/>
    <w:rsid w:val="005E16C6"/>
    <w:rsid w:val="005F03A7"/>
    <w:rsid w:val="005F0539"/>
    <w:rsid w:val="005F1F41"/>
    <w:rsid w:val="005F205C"/>
    <w:rsid w:val="006006FF"/>
    <w:rsid w:val="006018A0"/>
    <w:rsid w:val="00603FBD"/>
    <w:rsid w:val="00612346"/>
    <w:rsid w:val="00615B43"/>
    <w:rsid w:val="00616DEE"/>
    <w:rsid w:val="0062084C"/>
    <w:rsid w:val="006208E5"/>
    <w:rsid w:val="00621A5B"/>
    <w:rsid w:val="006275F5"/>
    <w:rsid w:val="00630027"/>
    <w:rsid w:val="00630E27"/>
    <w:rsid w:val="00633035"/>
    <w:rsid w:val="00640DDC"/>
    <w:rsid w:val="00641344"/>
    <w:rsid w:val="00642CE1"/>
    <w:rsid w:val="00644643"/>
    <w:rsid w:val="00650AD2"/>
    <w:rsid w:val="006519EA"/>
    <w:rsid w:val="00652AFA"/>
    <w:rsid w:val="00656023"/>
    <w:rsid w:val="00660686"/>
    <w:rsid w:val="00661FBA"/>
    <w:rsid w:val="00663E31"/>
    <w:rsid w:val="00667A18"/>
    <w:rsid w:val="0067073A"/>
    <w:rsid w:val="00673649"/>
    <w:rsid w:val="006767D0"/>
    <w:rsid w:val="0068043E"/>
    <w:rsid w:val="00680568"/>
    <w:rsid w:val="00684025"/>
    <w:rsid w:val="00695017"/>
    <w:rsid w:val="006A1305"/>
    <w:rsid w:val="006A31DC"/>
    <w:rsid w:val="006B0FDA"/>
    <w:rsid w:val="006B1CC7"/>
    <w:rsid w:val="006B29A4"/>
    <w:rsid w:val="006C0344"/>
    <w:rsid w:val="006C05D6"/>
    <w:rsid w:val="006C5699"/>
    <w:rsid w:val="006C6058"/>
    <w:rsid w:val="006C7F9D"/>
    <w:rsid w:val="006D5D78"/>
    <w:rsid w:val="006E131A"/>
    <w:rsid w:val="006E204B"/>
    <w:rsid w:val="006E2418"/>
    <w:rsid w:val="006E3146"/>
    <w:rsid w:val="006E4EB5"/>
    <w:rsid w:val="006E4FAB"/>
    <w:rsid w:val="006E6073"/>
    <w:rsid w:val="006E7B19"/>
    <w:rsid w:val="006F3C30"/>
    <w:rsid w:val="006F6DB6"/>
    <w:rsid w:val="007015A5"/>
    <w:rsid w:val="00703723"/>
    <w:rsid w:val="00716D32"/>
    <w:rsid w:val="00722B4A"/>
    <w:rsid w:val="00736A01"/>
    <w:rsid w:val="00737FCB"/>
    <w:rsid w:val="00741AB9"/>
    <w:rsid w:val="00747AB1"/>
    <w:rsid w:val="00751536"/>
    <w:rsid w:val="0075189C"/>
    <w:rsid w:val="00754093"/>
    <w:rsid w:val="007549D5"/>
    <w:rsid w:val="00755E2B"/>
    <w:rsid w:val="00763595"/>
    <w:rsid w:val="0076645B"/>
    <w:rsid w:val="0076661B"/>
    <w:rsid w:val="00766DB6"/>
    <w:rsid w:val="00771E52"/>
    <w:rsid w:val="00773B88"/>
    <w:rsid w:val="007775DC"/>
    <w:rsid w:val="0078115D"/>
    <w:rsid w:val="00783920"/>
    <w:rsid w:val="00784A37"/>
    <w:rsid w:val="00785C52"/>
    <w:rsid w:val="00791383"/>
    <w:rsid w:val="007A2939"/>
    <w:rsid w:val="007A502D"/>
    <w:rsid w:val="007B0370"/>
    <w:rsid w:val="007B140B"/>
    <w:rsid w:val="007B208A"/>
    <w:rsid w:val="007B5A5A"/>
    <w:rsid w:val="007C3389"/>
    <w:rsid w:val="007C386F"/>
    <w:rsid w:val="007D0789"/>
    <w:rsid w:val="007D351E"/>
    <w:rsid w:val="007F04F3"/>
    <w:rsid w:val="007F5B01"/>
    <w:rsid w:val="0080040D"/>
    <w:rsid w:val="008053A1"/>
    <w:rsid w:val="008067F2"/>
    <w:rsid w:val="00807620"/>
    <w:rsid w:val="00807BE9"/>
    <w:rsid w:val="00811C4C"/>
    <w:rsid w:val="008142EC"/>
    <w:rsid w:val="008151E7"/>
    <w:rsid w:val="00833200"/>
    <w:rsid w:val="00834F72"/>
    <w:rsid w:val="0083516F"/>
    <w:rsid w:val="0083649D"/>
    <w:rsid w:val="00836C7B"/>
    <w:rsid w:val="00836E4B"/>
    <w:rsid w:val="008440CD"/>
    <w:rsid w:val="00847215"/>
    <w:rsid w:val="00854027"/>
    <w:rsid w:val="008542A5"/>
    <w:rsid w:val="00855E26"/>
    <w:rsid w:val="00871C10"/>
    <w:rsid w:val="0087257C"/>
    <w:rsid w:val="00873431"/>
    <w:rsid w:val="00874517"/>
    <w:rsid w:val="008748BA"/>
    <w:rsid w:val="00877C74"/>
    <w:rsid w:val="008819BD"/>
    <w:rsid w:val="008822A3"/>
    <w:rsid w:val="00883039"/>
    <w:rsid w:val="00893957"/>
    <w:rsid w:val="00896F28"/>
    <w:rsid w:val="008A1943"/>
    <w:rsid w:val="008A3F13"/>
    <w:rsid w:val="008A4279"/>
    <w:rsid w:val="008A4773"/>
    <w:rsid w:val="008B08B9"/>
    <w:rsid w:val="008B2C1B"/>
    <w:rsid w:val="008B384C"/>
    <w:rsid w:val="008B4A0D"/>
    <w:rsid w:val="008B6781"/>
    <w:rsid w:val="008C0228"/>
    <w:rsid w:val="008D0CD6"/>
    <w:rsid w:val="008D3E04"/>
    <w:rsid w:val="008D70FF"/>
    <w:rsid w:val="008D7742"/>
    <w:rsid w:val="008E080B"/>
    <w:rsid w:val="008E5857"/>
    <w:rsid w:val="008E63B7"/>
    <w:rsid w:val="008F0A04"/>
    <w:rsid w:val="008F2C6D"/>
    <w:rsid w:val="008F4EB4"/>
    <w:rsid w:val="008F6421"/>
    <w:rsid w:val="008F73ED"/>
    <w:rsid w:val="009027AD"/>
    <w:rsid w:val="0090588C"/>
    <w:rsid w:val="00905A8F"/>
    <w:rsid w:val="00906C16"/>
    <w:rsid w:val="00910301"/>
    <w:rsid w:val="00912C0B"/>
    <w:rsid w:val="00913336"/>
    <w:rsid w:val="00913617"/>
    <w:rsid w:val="00915BB3"/>
    <w:rsid w:val="00927A36"/>
    <w:rsid w:val="009327B2"/>
    <w:rsid w:val="00932DEB"/>
    <w:rsid w:val="00937495"/>
    <w:rsid w:val="00941325"/>
    <w:rsid w:val="00951217"/>
    <w:rsid w:val="00963CA2"/>
    <w:rsid w:val="00966A9F"/>
    <w:rsid w:val="009748F8"/>
    <w:rsid w:val="00976257"/>
    <w:rsid w:val="00980069"/>
    <w:rsid w:val="00980186"/>
    <w:rsid w:val="009831DF"/>
    <w:rsid w:val="009873DD"/>
    <w:rsid w:val="00992348"/>
    <w:rsid w:val="009A0A13"/>
    <w:rsid w:val="009A1607"/>
    <w:rsid w:val="009A1A59"/>
    <w:rsid w:val="009A363A"/>
    <w:rsid w:val="009A4E62"/>
    <w:rsid w:val="009B364C"/>
    <w:rsid w:val="009B50BD"/>
    <w:rsid w:val="009B6E87"/>
    <w:rsid w:val="009B70D7"/>
    <w:rsid w:val="009B72B9"/>
    <w:rsid w:val="009C0C73"/>
    <w:rsid w:val="009C1550"/>
    <w:rsid w:val="009C320D"/>
    <w:rsid w:val="009C7489"/>
    <w:rsid w:val="009D1115"/>
    <w:rsid w:val="009D44A8"/>
    <w:rsid w:val="009E22C9"/>
    <w:rsid w:val="009E56A0"/>
    <w:rsid w:val="009E7C67"/>
    <w:rsid w:val="009F4A9E"/>
    <w:rsid w:val="00A00CCF"/>
    <w:rsid w:val="00A01858"/>
    <w:rsid w:val="00A0392D"/>
    <w:rsid w:val="00A03BE9"/>
    <w:rsid w:val="00A11935"/>
    <w:rsid w:val="00A155BF"/>
    <w:rsid w:val="00A226C3"/>
    <w:rsid w:val="00A2587B"/>
    <w:rsid w:val="00A2671A"/>
    <w:rsid w:val="00A3579F"/>
    <w:rsid w:val="00A4089E"/>
    <w:rsid w:val="00A44706"/>
    <w:rsid w:val="00A53416"/>
    <w:rsid w:val="00A57536"/>
    <w:rsid w:val="00A60020"/>
    <w:rsid w:val="00A61DAE"/>
    <w:rsid w:val="00A63488"/>
    <w:rsid w:val="00A67C5D"/>
    <w:rsid w:val="00A73A6E"/>
    <w:rsid w:val="00A74347"/>
    <w:rsid w:val="00A74460"/>
    <w:rsid w:val="00A746E3"/>
    <w:rsid w:val="00A80CB1"/>
    <w:rsid w:val="00A83AD8"/>
    <w:rsid w:val="00A85583"/>
    <w:rsid w:val="00A91E47"/>
    <w:rsid w:val="00A958F8"/>
    <w:rsid w:val="00A96ABB"/>
    <w:rsid w:val="00AA4D04"/>
    <w:rsid w:val="00AB4510"/>
    <w:rsid w:val="00AC0E31"/>
    <w:rsid w:val="00AC135E"/>
    <w:rsid w:val="00AC473B"/>
    <w:rsid w:val="00AC7975"/>
    <w:rsid w:val="00AD0230"/>
    <w:rsid w:val="00AD2ADD"/>
    <w:rsid w:val="00AD4F88"/>
    <w:rsid w:val="00AD6D9D"/>
    <w:rsid w:val="00AF0789"/>
    <w:rsid w:val="00AF1562"/>
    <w:rsid w:val="00AF1FEC"/>
    <w:rsid w:val="00AF749C"/>
    <w:rsid w:val="00B03694"/>
    <w:rsid w:val="00B04106"/>
    <w:rsid w:val="00B053A3"/>
    <w:rsid w:val="00B074E1"/>
    <w:rsid w:val="00B07BAF"/>
    <w:rsid w:val="00B1434B"/>
    <w:rsid w:val="00B14DA8"/>
    <w:rsid w:val="00B1574A"/>
    <w:rsid w:val="00B205A4"/>
    <w:rsid w:val="00B3083E"/>
    <w:rsid w:val="00B32222"/>
    <w:rsid w:val="00B33551"/>
    <w:rsid w:val="00B35481"/>
    <w:rsid w:val="00B359E0"/>
    <w:rsid w:val="00B41E77"/>
    <w:rsid w:val="00B42D7A"/>
    <w:rsid w:val="00B42E84"/>
    <w:rsid w:val="00B4486F"/>
    <w:rsid w:val="00B462F8"/>
    <w:rsid w:val="00B51172"/>
    <w:rsid w:val="00B51FB3"/>
    <w:rsid w:val="00B54064"/>
    <w:rsid w:val="00B577A0"/>
    <w:rsid w:val="00B61DBC"/>
    <w:rsid w:val="00B6221A"/>
    <w:rsid w:val="00B64CFE"/>
    <w:rsid w:val="00B71E87"/>
    <w:rsid w:val="00B71F60"/>
    <w:rsid w:val="00B8165E"/>
    <w:rsid w:val="00B81C49"/>
    <w:rsid w:val="00B83160"/>
    <w:rsid w:val="00B858BE"/>
    <w:rsid w:val="00B85917"/>
    <w:rsid w:val="00B9331A"/>
    <w:rsid w:val="00B93A18"/>
    <w:rsid w:val="00B9552A"/>
    <w:rsid w:val="00BA2FD4"/>
    <w:rsid w:val="00BA6712"/>
    <w:rsid w:val="00BA6D6B"/>
    <w:rsid w:val="00BB1181"/>
    <w:rsid w:val="00BB4CA9"/>
    <w:rsid w:val="00BB7474"/>
    <w:rsid w:val="00BC3657"/>
    <w:rsid w:val="00BC4807"/>
    <w:rsid w:val="00BD0CA8"/>
    <w:rsid w:val="00BD3B03"/>
    <w:rsid w:val="00BD46C2"/>
    <w:rsid w:val="00BD6937"/>
    <w:rsid w:val="00BE18A5"/>
    <w:rsid w:val="00BE4699"/>
    <w:rsid w:val="00BE7F0C"/>
    <w:rsid w:val="00BF7B17"/>
    <w:rsid w:val="00C025FA"/>
    <w:rsid w:val="00C120E1"/>
    <w:rsid w:val="00C16B33"/>
    <w:rsid w:val="00C225EE"/>
    <w:rsid w:val="00C31666"/>
    <w:rsid w:val="00C406CE"/>
    <w:rsid w:val="00C45E53"/>
    <w:rsid w:val="00C47DA8"/>
    <w:rsid w:val="00C51A94"/>
    <w:rsid w:val="00C51EF2"/>
    <w:rsid w:val="00C54E8D"/>
    <w:rsid w:val="00C65891"/>
    <w:rsid w:val="00C71E5C"/>
    <w:rsid w:val="00C72352"/>
    <w:rsid w:val="00C74F46"/>
    <w:rsid w:val="00C87BB4"/>
    <w:rsid w:val="00C90915"/>
    <w:rsid w:val="00CA0A89"/>
    <w:rsid w:val="00CA2C15"/>
    <w:rsid w:val="00CB266A"/>
    <w:rsid w:val="00CC1317"/>
    <w:rsid w:val="00CD5C19"/>
    <w:rsid w:val="00CD5F22"/>
    <w:rsid w:val="00CE622A"/>
    <w:rsid w:val="00CF3527"/>
    <w:rsid w:val="00CF5CF6"/>
    <w:rsid w:val="00CF795C"/>
    <w:rsid w:val="00D01AB5"/>
    <w:rsid w:val="00D0268C"/>
    <w:rsid w:val="00D075FD"/>
    <w:rsid w:val="00D12143"/>
    <w:rsid w:val="00D13FE6"/>
    <w:rsid w:val="00D157B3"/>
    <w:rsid w:val="00D36972"/>
    <w:rsid w:val="00D37B0A"/>
    <w:rsid w:val="00D40006"/>
    <w:rsid w:val="00D513D2"/>
    <w:rsid w:val="00D5378A"/>
    <w:rsid w:val="00D70108"/>
    <w:rsid w:val="00D708D4"/>
    <w:rsid w:val="00D71215"/>
    <w:rsid w:val="00D715F7"/>
    <w:rsid w:val="00D746F7"/>
    <w:rsid w:val="00D7720E"/>
    <w:rsid w:val="00D77C49"/>
    <w:rsid w:val="00D848B9"/>
    <w:rsid w:val="00D86D1F"/>
    <w:rsid w:val="00D9289B"/>
    <w:rsid w:val="00D95BE0"/>
    <w:rsid w:val="00DA2643"/>
    <w:rsid w:val="00DA2FD3"/>
    <w:rsid w:val="00DA37E6"/>
    <w:rsid w:val="00DB2C4A"/>
    <w:rsid w:val="00DC1B8E"/>
    <w:rsid w:val="00DC5963"/>
    <w:rsid w:val="00DD5B4F"/>
    <w:rsid w:val="00DD6803"/>
    <w:rsid w:val="00DD6F9D"/>
    <w:rsid w:val="00DE276F"/>
    <w:rsid w:val="00DE38F3"/>
    <w:rsid w:val="00DE7773"/>
    <w:rsid w:val="00DF3632"/>
    <w:rsid w:val="00DF68CB"/>
    <w:rsid w:val="00E00B55"/>
    <w:rsid w:val="00E10C75"/>
    <w:rsid w:val="00E11DA6"/>
    <w:rsid w:val="00E249F6"/>
    <w:rsid w:val="00E279D2"/>
    <w:rsid w:val="00E326A0"/>
    <w:rsid w:val="00E37452"/>
    <w:rsid w:val="00E37D4B"/>
    <w:rsid w:val="00E43DF3"/>
    <w:rsid w:val="00E465A7"/>
    <w:rsid w:val="00E466A5"/>
    <w:rsid w:val="00E518B7"/>
    <w:rsid w:val="00E54BE3"/>
    <w:rsid w:val="00E61A72"/>
    <w:rsid w:val="00E63BC6"/>
    <w:rsid w:val="00E64E31"/>
    <w:rsid w:val="00E676CD"/>
    <w:rsid w:val="00E7610A"/>
    <w:rsid w:val="00E77E9E"/>
    <w:rsid w:val="00E852DE"/>
    <w:rsid w:val="00E93EF1"/>
    <w:rsid w:val="00E953C7"/>
    <w:rsid w:val="00E95867"/>
    <w:rsid w:val="00E96391"/>
    <w:rsid w:val="00EA000A"/>
    <w:rsid w:val="00EA34D8"/>
    <w:rsid w:val="00EA4D88"/>
    <w:rsid w:val="00EA5E62"/>
    <w:rsid w:val="00EB03B3"/>
    <w:rsid w:val="00EB0CF6"/>
    <w:rsid w:val="00EB48E2"/>
    <w:rsid w:val="00EC07DC"/>
    <w:rsid w:val="00EC0C32"/>
    <w:rsid w:val="00EC1B39"/>
    <w:rsid w:val="00EC2A6D"/>
    <w:rsid w:val="00EC39C9"/>
    <w:rsid w:val="00EC74FC"/>
    <w:rsid w:val="00ED274A"/>
    <w:rsid w:val="00ED2E50"/>
    <w:rsid w:val="00ED3A0B"/>
    <w:rsid w:val="00ED3E21"/>
    <w:rsid w:val="00ED471B"/>
    <w:rsid w:val="00ED5F1F"/>
    <w:rsid w:val="00ED6886"/>
    <w:rsid w:val="00ED7CBC"/>
    <w:rsid w:val="00EE4808"/>
    <w:rsid w:val="00EE732E"/>
    <w:rsid w:val="00EF2E32"/>
    <w:rsid w:val="00F04F24"/>
    <w:rsid w:val="00F05054"/>
    <w:rsid w:val="00F05B07"/>
    <w:rsid w:val="00F100D1"/>
    <w:rsid w:val="00F14216"/>
    <w:rsid w:val="00F20EC4"/>
    <w:rsid w:val="00F22494"/>
    <w:rsid w:val="00F22C55"/>
    <w:rsid w:val="00F24C13"/>
    <w:rsid w:val="00F30D35"/>
    <w:rsid w:val="00F32C96"/>
    <w:rsid w:val="00F342B1"/>
    <w:rsid w:val="00F41BEC"/>
    <w:rsid w:val="00F43001"/>
    <w:rsid w:val="00F473CE"/>
    <w:rsid w:val="00F51D4E"/>
    <w:rsid w:val="00F55191"/>
    <w:rsid w:val="00F55CA9"/>
    <w:rsid w:val="00F665B8"/>
    <w:rsid w:val="00F67985"/>
    <w:rsid w:val="00F70924"/>
    <w:rsid w:val="00F75C3E"/>
    <w:rsid w:val="00F93CC4"/>
    <w:rsid w:val="00FA02C4"/>
    <w:rsid w:val="00FA3E6D"/>
    <w:rsid w:val="00FA7183"/>
    <w:rsid w:val="00FB5B98"/>
    <w:rsid w:val="00FC15A9"/>
    <w:rsid w:val="00FC4BE6"/>
    <w:rsid w:val="00FC6052"/>
    <w:rsid w:val="00FD2140"/>
    <w:rsid w:val="00FD3A8C"/>
    <w:rsid w:val="00FD6478"/>
    <w:rsid w:val="00FE1CF2"/>
    <w:rsid w:val="00FF1F55"/>
    <w:rsid w:val="00FF2177"/>
    <w:rsid w:val="00FF560A"/>
    <w:rsid w:val="00FF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C5FB39"/>
  <w15:docId w15:val="{149B9B47-C2AF-460D-939B-02E4116E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3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663BE"/>
    <w:rPr>
      <w:rFonts w:ascii="Courier New" w:hAnsi="Courier New" w:cs="Courier New"/>
      <w:sz w:val="20"/>
      <w:szCs w:val="20"/>
    </w:rPr>
  </w:style>
  <w:style w:type="paragraph" w:styleId="E-mailSignature">
    <w:name w:val="E-mail Signature"/>
    <w:basedOn w:val="Normal"/>
    <w:rsid w:val="002663BE"/>
  </w:style>
  <w:style w:type="character" w:customStyle="1" w:styleId="apple-converted-space">
    <w:name w:val="apple-converted-space"/>
    <w:basedOn w:val="DefaultParagraphFont"/>
    <w:rsid w:val="002663BE"/>
  </w:style>
  <w:style w:type="character" w:customStyle="1" w:styleId="apple-style-span">
    <w:name w:val="apple-style-span"/>
    <w:basedOn w:val="DefaultParagraphFont"/>
    <w:rsid w:val="002663BE"/>
  </w:style>
  <w:style w:type="character" w:styleId="Hyperlink">
    <w:name w:val="Hyperlink"/>
    <w:basedOn w:val="DefaultParagraphFont"/>
    <w:uiPriority w:val="99"/>
    <w:rsid w:val="00CF795C"/>
    <w:rPr>
      <w:color w:val="0000FF"/>
      <w:u w:val="single"/>
    </w:rPr>
  </w:style>
  <w:style w:type="paragraph" w:styleId="BalloonText">
    <w:name w:val="Balloon Text"/>
    <w:basedOn w:val="Normal"/>
    <w:semiHidden/>
    <w:rsid w:val="00E93EF1"/>
    <w:rPr>
      <w:rFonts w:ascii="Tahoma" w:hAnsi="Tahoma" w:cs="Tahoma"/>
      <w:sz w:val="16"/>
      <w:szCs w:val="16"/>
    </w:rPr>
  </w:style>
  <w:style w:type="paragraph" w:styleId="Header">
    <w:name w:val="header"/>
    <w:basedOn w:val="Normal"/>
    <w:link w:val="HeaderChar"/>
    <w:uiPriority w:val="99"/>
    <w:rsid w:val="00ED7CBC"/>
    <w:pPr>
      <w:tabs>
        <w:tab w:val="center" w:pos="4320"/>
        <w:tab w:val="right" w:pos="8640"/>
      </w:tabs>
    </w:pPr>
    <w:rPr>
      <w:rFonts w:ascii="Arial" w:eastAsia="Calibri" w:hAnsi="Arial" w:cs="Arial"/>
      <w:bCs/>
    </w:rPr>
  </w:style>
  <w:style w:type="character" w:customStyle="1" w:styleId="HeaderChar">
    <w:name w:val="Header Char"/>
    <w:basedOn w:val="DefaultParagraphFont"/>
    <w:link w:val="Header"/>
    <w:uiPriority w:val="99"/>
    <w:locked/>
    <w:rsid w:val="00ED7CBC"/>
    <w:rPr>
      <w:rFonts w:ascii="Arial" w:eastAsia="Calibri" w:hAnsi="Arial" w:cs="Arial"/>
      <w:bCs/>
      <w:sz w:val="24"/>
      <w:szCs w:val="24"/>
      <w:lang w:val="en-US" w:eastAsia="en-US" w:bidi="ar-SA"/>
    </w:rPr>
  </w:style>
  <w:style w:type="paragraph" w:styleId="Footer">
    <w:name w:val="footer"/>
    <w:basedOn w:val="Normal"/>
    <w:link w:val="FooterChar"/>
    <w:uiPriority w:val="99"/>
    <w:rsid w:val="00046D5C"/>
    <w:pPr>
      <w:tabs>
        <w:tab w:val="center" w:pos="4320"/>
        <w:tab w:val="right" w:pos="8640"/>
      </w:tabs>
    </w:pPr>
  </w:style>
  <w:style w:type="character" w:styleId="PageNumber">
    <w:name w:val="page number"/>
    <w:basedOn w:val="DefaultParagraphFont"/>
    <w:rsid w:val="00046D5C"/>
  </w:style>
  <w:style w:type="paragraph" w:styleId="ListParagraph">
    <w:name w:val="List Paragraph"/>
    <w:basedOn w:val="Normal"/>
    <w:uiPriority w:val="34"/>
    <w:qFormat/>
    <w:rsid w:val="0034371D"/>
    <w:pPr>
      <w:ind w:left="720"/>
      <w:contextualSpacing/>
    </w:pPr>
  </w:style>
  <w:style w:type="paragraph" w:styleId="NormalWeb">
    <w:name w:val="Normal (Web)"/>
    <w:basedOn w:val="Normal"/>
    <w:uiPriority w:val="99"/>
    <w:unhideWhenUsed/>
    <w:rsid w:val="0062084C"/>
    <w:pPr>
      <w:spacing w:before="100" w:beforeAutospacing="1" w:after="100" w:afterAutospacing="1"/>
    </w:pPr>
  </w:style>
  <w:style w:type="paragraph" w:styleId="FootnoteText">
    <w:name w:val="footnote text"/>
    <w:basedOn w:val="Normal"/>
    <w:link w:val="FootnoteTextChar"/>
    <w:rsid w:val="000E456B"/>
    <w:rPr>
      <w:sz w:val="20"/>
      <w:szCs w:val="20"/>
    </w:rPr>
  </w:style>
  <w:style w:type="character" w:customStyle="1" w:styleId="FootnoteTextChar">
    <w:name w:val="Footnote Text Char"/>
    <w:basedOn w:val="DefaultParagraphFont"/>
    <w:link w:val="FootnoteText"/>
    <w:rsid w:val="000E456B"/>
  </w:style>
  <w:style w:type="character" w:styleId="FootnoteReference">
    <w:name w:val="footnote reference"/>
    <w:basedOn w:val="DefaultParagraphFont"/>
    <w:uiPriority w:val="99"/>
    <w:rsid w:val="000E456B"/>
    <w:rPr>
      <w:vertAlign w:val="superscript"/>
    </w:rPr>
  </w:style>
  <w:style w:type="table" w:styleId="TableGrid">
    <w:name w:val="Table Grid"/>
    <w:basedOn w:val="TableNormal"/>
    <w:uiPriority w:val="59"/>
    <w:rsid w:val="000712CA"/>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C07DC"/>
    <w:rPr>
      <w:sz w:val="16"/>
      <w:szCs w:val="16"/>
    </w:rPr>
  </w:style>
  <w:style w:type="paragraph" w:styleId="CommentText">
    <w:name w:val="annotation text"/>
    <w:basedOn w:val="Normal"/>
    <w:link w:val="CommentTextChar"/>
    <w:semiHidden/>
    <w:unhideWhenUsed/>
    <w:rsid w:val="00EC07DC"/>
    <w:rPr>
      <w:sz w:val="20"/>
      <w:szCs w:val="20"/>
    </w:rPr>
  </w:style>
  <w:style w:type="character" w:customStyle="1" w:styleId="CommentTextChar">
    <w:name w:val="Comment Text Char"/>
    <w:basedOn w:val="DefaultParagraphFont"/>
    <w:link w:val="CommentText"/>
    <w:semiHidden/>
    <w:rsid w:val="00EC07DC"/>
  </w:style>
  <w:style w:type="paragraph" w:styleId="CommentSubject">
    <w:name w:val="annotation subject"/>
    <w:basedOn w:val="CommentText"/>
    <w:next w:val="CommentText"/>
    <w:link w:val="CommentSubjectChar"/>
    <w:semiHidden/>
    <w:unhideWhenUsed/>
    <w:rsid w:val="00EC07DC"/>
    <w:rPr>
      <w:b/>
      <w:bCs/>
    </w:rPr>
  </w:style>
  <w:style w:type="character" w:customStyle="1" w:styleId="CommentSubjectChar">
    <w:name w:val="Comment Subject Char"/>
    <w:basedOn w:val="CommentTextChar"/>
    <w:link w:val="CommentSubject"/>
    <w:semiHidden/>
    <w:rsid w:val="00EC07DC"/>
    <w:rPr>
      <w:b/>
      <w:bCs/>
    </w:rPr>
  </w:style>
  <w:style w:type="character" w:customStyle="1" w:styleId="FooterChar">
    <w:name w:val="Footer Char"/>
    <w:basedOn w:val="DefaultParagraphFont"/>
    <w:link w:val="Footer"/>
    <w:uiPriority w:val="99"/>
    <w:rsid w:val="00811C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4776">
      <w:bodyDiv w:val="1"/>
      <w:marLeft w:val="0"/>
      <w:marRight w:val="0"/>
      <w:marTop w:val="0"/>
      <w:marBottom w:val="0"/>
      <w:divBdr>
        <w:top w:val="none" w:sz="0" w:space="0" w:color="auto"/>
        <w:left w:val="none" w:sz="0" w:space="0" w:color="auto"/>
        <w:bottom w:val="none" w:sz="0" w:space="0" w:color="auto"/>
        <w:right w:val="none" w:sz="0" w:space="0" w:color="auto"/>
      </w:divBdr>
    </w:div>
    <w:div w:id="38408523">
      <w:bodyDiv w:val="1"/>
      <w:marLeft w:val="0"/>
      <w:marRight w:val="0"/>
      <w:marTop w:val="0"/>
      <w:marBottom w:val="0"/>
      <w:divBdr>
        <w:top w:val="none" w:sz="0" w:space="0" w:color="auto"/>
        <w:left w:val="none" w:sz="0" w:space="0" w:color="auto"/>
        <w:bottom w:val="none" w:sz="0" w:space="0" w:color="auto"/>
        <w:right w:val="none" w:sz="0" w:space="0" w:color="auto"/>
      </w:divBdr>
    </w:div>
    <w:div w:id="49623629">
      <w:bodyDiv w:val="1"/>
      <w:marLeft w:val="0"/>
      <w:marRight w:val="0"/>
      <w:marTop w:val="0"/>
      <w:marBottom w:val="0"/>
      <w:divBdr>
        <w:top w:val="none" w:sz="0" w:space="0" w:color="auto"/>
        <w:left w:val="none" w:sz="0" w:space="0" w:color="auto"/>
        <w:bottom w:val="none" w:sz="0" w:space="0" w:color="auto"/>
        <w:right w:val="none" w:sz="0" w:space="0" w:color="auto"/>
      </w:divBdr>
    </w:div>
    <w:div w:id="81684431">
      <w:bodyDiv w:val="1"/>
      <w:marLeft w:val="75"/>
      <w:marRight w:val="0"/>
      <w:marTop w:val="0"/>
      <w:marBottom w:val="0"/>
      <w:divBdr>
        <w:top w:val="none" w:sz="0" w:space="0" w:color="auto"/>
        <w:left w:val="none" w:sz="0" w:space="0" w:color="auto"/>
        <w:bottom w:val="none" w:sz="0" w:space="0" w:color="auto"/>
        <w:right w:val="none" w:sz="0" w:space="0" w:color="auto"/>
      </w:divBdr>
      <w:divsChild>
        <w:div w:id="1788232465">
          <w:marLeft w:val="0"/>
          <w:marRight w:val="0"/>
          <w:marTop w:val="0"/>
          <w:marBottom w:val="0"/>
          <w:divBdr>
            <w:top w:val="none" w:sz="0" w:space="0" w:color="auto"/>
            <w:left w:val="none" w:sz="0" w:space="0" w:color="auto"/>
            <w:bottom w:val="none" w:sz="0" w:space="0" w:color="auto"/>
            <w:right w:val="none" w:sz="0" w:space="0" w:color="auto"/>
          </w:divBdr>
          <w:divsChild>
            <w:div w:id="1591280863">
              <w:marLeft w:val="0"/>
              <w:marRight w:val="0"/>
              <w:marTop w:val="225"/>
              <w:marBottom w:val="525"/>
              <w:divBdr>
                <w:top w:val="none" w:sz="0" w:space="0" w:color="auto"/>
                <w:left w:val="none" w:sz="0" w:space="0" w:color="auto"/>
                <w:bottom w:val="none" w:sz="0" w:space="0" w:color="auto"/>
                <w:right w:val="none" w:sz="0" w:space="0" w:color="auto"/>
              </w:divBdr>
              <w:divsChild>
                <w:div w:id="878280161">
                  <w:marLeft w:val="0"/>
                  <w:marRight w:val="0"/>
                  <w:marTop w:val="0"/>
                  <w:marBottom w:val="0"/>
                  <w:divBdr>
                    <w:top w:val="none" w:sz="0" w:space="0" w:color="auto"/>
                    <w:left w:val="none" w:sz="0" w:space="0" w:color="auto"/>
                    <w:bottom w:val="none" w:sz="0" w:space="0" w:color="auto"/>
                    <w:right w:val="none" w:sz="0" w:space="0" w:color="auto"/>
                  </w:divBdr>
                  <w:divsChild>
                    <w:div w:id="1492024116">
                      <w:marLeft w:val="0"/>
                      <w:marRight w:val="0"/>
                      <w:marTop w:val="0"/>
                      <w:marBottom w:val="0"/>
                      <w:divBdr>
                        <w:top w:val="none" w:sz="0" w:space="0" w:color="auto"/>
                        <w:left w:val="none" w:sz="0" w:space="0" w:color="auto"/>
                        <w:bottom w:val="none" w:sz="0" w:space="0" w:color="auto"/>
                        <w:right w:val="none" w:sz="0" w:space="0" w:color="auto"/>
                      </w:divBdr>
                      <w:divsChild>
                        <w:div w:id="1208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4635">
      <w:bodyDiv w:val="1"/>
      <w:marLeft w:val="0"/>
      <w:marRight w:val="0"/>
      <w:marTop w:val="0"/>
      <w:marBottom w:val="0"/>
      <w:divBdr>
        <w:top w:val="none" w:sz="0" w:space="0" w:color="auto"/>
        <w:left w:val="none" w:sz="0" w:space="0" w:color="auto"/>
        <w:bottom w:val="none" w:sz="0" w:space="0" w:color="auto"/>
        <w:right w:val="none" w:sz="0" w:space="0" w:color="auto"/>
      </w:divBdr>
    </w:div>
    <w:div w:id="189415488">
      <w:bodyDiv w:val="1"/>
      <w:marLeft w:val="0"/>
      <w:marRight w:val="0"/>
      <w:marTop w:val="0"/>
      <w:marBottom w:val="0"/>
      <w:divBdr>
        <w:top w:val="none" w:sz="0" w:space="0" w:color="auto"/>
        <w:left w:val="none" w:sz="0" w:space="0" w:color="auto"/>
        <w:bottom w:val="none" w:sz="0" w:space="0" w:color="auto"/>
        <w:right w:val="none" w:sz="0" w:space="0" w:color="auto"/>
      </w:divBdr>
    </w:div>
    <w:div w:id="192380472">
      <w:bodyDiv w:val="1"/>
      <w:marLeft w:val="0"/>
      <w:marRight w:val="0"/>
      <w:marTop w:val="0"/>
      <w:marBottom w:val="0"/>
      <w:divBdr>
        <w:top w:val="none" w:sz="0" w:space="0" w:color="auto"/>
        <w:left w:val="none" w:sz="0" w:space="0" w:color="auto"/>
        <w:bottom w:val="none" w:sz="0" w:space="0" w:color="auto"/>
        <w:right w:val="none" w:sz="0" w:space="0" w:color="auto"/>
      </w:divBdr>
    </w:div>
    <w:div w:id="221215844">
      <w:bodyDiv w:val="1"/>
      <w:marLeft w:val="0"/>
      <w:marRight w:val="0"/>
      <w:marTop w:val="0"/>
      <w:marBottom w:val="0"/>
      <w:divBdr>
        <w:top w:val="none" w:sz="0" w:space="0" w:color="auto"/>
        <w:left w:val="none" w:sz="0" w:space="0" w:color="auto"/>
        <w:bottom w:val="none" w:sz="0" w:space="0" w:color="auto"/>
        <w:right w:val="none" w:sz="0" w:space="0" w:color="auto"/>
      </w:divBdr>
    </w:div>
    <w:div w:id="312179295">
      <w:bodyDiv w:val="1"/>
      <w:marLeft w:val="0"/>
      <w:marRight w:val="0"/>
      <w:marTop w:val="0"/>
      <w:marBottom w:val="0"/>
      <w:divBdr>
        <w:top w:val="none" w:sz="0" w:space="0" w:color="auto"/>
        <w:left w:val="none" w:sz="0" w:space="0" w:color="auto"/>
        <w:bottom w:val="none" w:sz="0" w:space="0" w:color="auto"/>
        <w:right w:val="none" w:sz="0" w:space="0" w:color="auto"/>
      </w:divBdr>
    </w:div>
    <w:div w:id="372922021">
      <w:bodyDiv w:val="1"/>
      <w:marLeft w:val="0"/>
      <w:marRight w:val="0"/>
      <w:marTop w:val="0"/>
      <w:marBottom w:val="0"/>
      <w:divBdr>
        <w:top w:val="none" w:sz="0" w:space="0" w:color="auto"/>
        <w:left w:val="none" w:sz="0" w:space="0" w:color="auto"/>
        <w:bottom w:val="none" w:sz="0" w:space="0" w:color="auto"/>
        <w:right w:val="none" w:sz="0" w:space="0" w:color="auto"/>
      </w:divBdr>
    </w:div>
    <w:div w:id="387996121">
      <w:bodyDiv w:val="1"/>
      <w:marLeft w:val="0"/>
      <w:marRight w:val="0"/>
      <w:marTop w:val="0"/>
      <w:marBottom w:val="0"/>
      <w:divBdr>
        <w:top w:val="none" w:sz="0" w:space="0" w:color="auto"/>
        <w:left w:val="none" w:sz="0" w:space="0" w:color="auto"/>
        <w:bottom w:val="none" w:sz="0" w:space="0" w:color="auto"/>
        <w:right w:val="none" w:sz="0" w:space="0" w:color="auto"/>
      </w:divBdr>
    </w:div>
    <w:div w:id="488248031">
      <w:bodyDiv w:val="1"/>
      <w:marLeft w:val="0"/>
      <w:marRight w:val="0"/>
      <w:marTop w:val="0"/>
      <w:marBottom w:val="0"/>
      <w:divBdr>
        <w:top w:val="none" w:sz="0" w:space="0" w:color="auto"/>
        <w:left w:val="none" w:sz="0" w:space="0" w:color="auto"/>
        <w:bottom w:val="none" w:sz="0" w:space="0" w:color="auto"/>
        <w:right w:val="none" w:sz="0" w:space="0" w:color="auto"/>
      </w:divBdr>
    </w:div>
    <w:div w:id="536818091">
      <w:bodyDiv w:val="1"/>
      <w:marLeft w:val="0"/>
      <w:marRight w:val="0"/>
      <w:marTop w:val="0"/>
      <w:marBottom w:val="0"/>
      <w:divBdr>
        <w:top w:val="none" w:sz="0" w:space="0" w:color="auto"/>
        <w:left w:val="none" w:sz="0" w:space="0" w:color="auto"/>
        <w:bottom w:val="none" w:sz="0" w:space="0" w:color="auto"/>
        <w:right w:val="none" w:sz="0" w:space="0" w:color="auto"/>
      </w:divBdr>
      <w:divsChild>
        <w:div w:id="345405201">
          <w:marLeft w:val="0"/>
          <w:marRight w:val="0"/>
          <w:marTop w:val="0"/>
          <w:marBottom w:val="0"/>
          <w:divBdr>
            <w:top w:val="none" w:sz="0" w:space="0" w:color="auto"/>
            <w:left w:val="none" w:sz="0" w:space="0" w:color="auto"/>
            <w:bottom w:val="none" w:sz="0" w:space="0" w:color="auto"/>
            <w:right w:val="none" w:sz="0" w:space="0" w:color="auto"/>
          </w:divBdr>
        </w:div>
        <w:div w:id="373425511">
          <w:marLeft w:val="0"/>
          <w:marRight w:val="0"/>
          <w:marTop w:val="0"/>
          <w:marBottom w:val="0"/>
          <w:divBdr>
            <w:top w:val="none" w:sz="0" w:space="0" w:color="auto"/>
            <w:left w:val="none" w:sz="0" w:space="0" w:color="auto"/>
            <w:bottom w:val="none" w:sz="0" w:space="0" w:color="auto"/>
            <w:right w:val="none" w:sz="0" w:space="0" w:color="auto"/>
          </w:divBdr>
        </w:div>
        <w:div w:id="499926576">
          <w:marLeft w:val="0"/>
          <w:marRight w:val="0"/>
          <w:marTop w:val="0"/>
          <w:marBottom w:val="0"/>
          <w:divBdr>
            <w:top w:val="none" w:sz="0" w:space="0" w:color="auto"/>
            <w:left w:val="none" w:sz="0" w:space="0" w:color="auto"/>
            <w:bottom w:val="none" w:sz="0" w:space="0" w:color="auto"/>
            <w:right w:val="none" w:sz="0" w:space="0" w:color="auto"/>
          </w:divBdr>
        </w:div>
        <w:div w:id="616106239">
          <w:marLeft w:val="0"/>
          <w:marRight w:val="0"/>
          <w:marTop w:val="0"/>
          <w:marBottom w:val="0"/>
          <w:divBdr>
            <w:top w:val="none" w:sz="0" w:space="0" w:color="auto"/>
            <w:left w:val="none" w:sz="0" w:space="0" w:color="auto"/>
            <w:bottom w:val="none" w:sz="0" w:space="0" w:color="auto"/>
            <w:right w:val="none" w:sz="0" w:space="0" w:color="auto"/>
          </w:divBdr>
        </w:div>
        <w:div w:id="745150216">
          <w:marLeft w:val="0"/>
          <w:marRight w:val="0"/>
          <w:marTop w:val="0"/>
          <w:marBottom w:val="0"/>
          <w:divBdr>
            <w:top w:val="none" w:sz="0" w:space="0" w:color="auto"/>
            <w:left w:val="none" w:sz="0" w:space="0" w:color="auto"/>
            <w:bottom w:val="none" w:sz="0" w:space="0" w:color="auto"/>
            <w:right w:val="none" w:sz="0" w:space="0" w:color="auto"/>
          </w:divBdr>
        </w:div>
        <w:div w:id="792285370">
          <w:marLeft w:val="0"/>
          <w:marRight w:val="0"/>
          <w:marTop w:val="0"/>
          <w:marBottom w:val="0"/>
          <w:divBdr>
            <w:top w:val="none" w:sz="0" w:space="0" w:color="auto"/>
            <w:left w:val="none" w:sz="0" w:space="0" w:color="auto"/>
            <w:bottom w:val="none" w:sz="0" w:space="0" w:color="auto"/>
            <w:right w:val="none" w:sz="0" w:space="0" w:color="auto"/>
          </w:divBdr>
        </w:div>
        <w:div w:id="808011212">
          <w:marLeft w:val="0"/>
          <w:marRight w:val="0"/>
          <w:marTop w:val="0"/>
          <w:marBottom w:val="0"/>
          <w:divBdr>
            <w:top w:val="none" w:sz="0" w:space="0" w:color="auto"/>
            <w:left w:val="none" w:sz="0" w:space="0" w:color="auto"/>
            <w:bottom w:val="none" w:sz="0" w:space="0" w:color="auto"/>
            <w:right w:val="none" w:sz="0" w:space="0" w:color="auto"/>
          </w:divBdr>
        </w:div>
        <w:div w:id="1228102839">
          <w:marLeft w:val="0"/>
          <w:marRight w:val="0"/>
          <w:marTop w:val="0"/>
          <w:marBottom w:val="0"/>
          <w:divBdr>
            <w:top w:val="none" w:sz="0" w:space="0" w:color="auto"/>
            <w:left w:val="none" w:sz="0" w:space="0" w:color="auto"/>
            <w:bottom w:val="none" w:sz="0" w:space="0" w:color="auto"/>
            <w:right w:val="none" w:sz="0" w:space="0" w:color="auto"/>
          </w:divBdr>
        </w:div>
        <w:div w:id="1290626878">
          <w:marLeft w:val="0"/>
          <w:marRight w:val="0"/>
          <w:marTop w:val="0"/>
          <w:marBottom w:val="0"/>
          <w:divBdr>
            <w:top w:val="none" w:sz="0" w:space="0" w:color="auto"/>
            <w:left w:val="none" w:sz="0" w:space="0" w:color="auto"/>
            <w:bottom w:val="none" w:sz="0" w:space="0" w:color="auto"/>
            <w:right w:val="none" w:sz="0" w:space="0" w:color="auto"/>
          </w:divBdr>
        </w:div>
        <w:div w:id="1312323676">
          <w:marLeft w:val="0"/>
          <w:marRight w:val="0"/>
          <w:marTop w:val="0"/>
          <w:marBottom w:val="0"/>
          <w:divBdr>
            <w:top w:val="none" w:sz="0" w:space="0" w:color="auto"/>
            <w:left w:val="none" w:sz="0" w:space="0" w:color="auto"/>
            <w:bottom w:val="none" w:sz="0" w:space="0" w:color="auto"/>
            <w:right w:val="none" w:sz="0" w:space="0" w:color="auto"/>
          </w:divBdr>
          <w:divsChild>
            <w:div w:id="139269103">
              <w:marLeft w:val="0"/>
              <w:marRight w:val="0"/>
              <w:marTop w:val="0"/>
              <w:marBottom w:val="0"/>
              <w:divBdr>
                <w:top w:val="none" w:sz="0" w:space="0" w:color="auto"/>
                <w:left w:val="none" w:sz="0" w:space="0" w:color="auto"/>
                <w:bottom w:val="none" w:sz="0" w:space="0" w:color="auto"/>
                <w:right w:val="none" w:sz="0" w:space="0" w:color="auto"/>
              </w:divBdr>
            </w:div>
            <w:div w:id="549193806">
              <w:marLeft w:val="0"/>
              <w:marRight w:val="0"/>
              <w:marTop w:val="0"/>
              <w:marBottom w:val="0"/>
              <w:divBdr>
                <w:top w:val="none" w:sz="0" w:space="0" w:color="auto"/>
                <w:left w:val="none" w:sz="0" w:space="0" w:color="auto"/>
                <w:bottom w:val="none" w:sz="0" w:space="0" w:color="auto"/>
                <w:right w:val="none" w:sz="0" w:space="0" w:color="auto"/>
              </w:divBdr>
            </w:div>
            <w:div w:id="815872635">
              <w:marLeft w:val="0"/>
              <w:marRight w:val="0"/>
              <w:marTop w:val="0"/>
              <w:marBottom w:val="0"/>
              <w:divBdr>
                <w:top w:val="none" w:sz="0" w:space="0" w:color="auto"/>
                <w:left w:val="none" w:sz="0" w:space="0" w:color="auto"/>
                <w:bottom w:val="none" w:sz="0" w:space="0" w:color="auto"/>
                <w:right w:val="none" w:sz="0" w:space="0" w:color="auto"/>
              </w:divBdr>
            </w:div>
            <w:div w:id="1388646378">
              <w:marLeft w:val="0"/>
              <w:marRight w:val="0"/>
              <w:marTop w:val="0"/>
              <w:marBottom w:val="0"/>
              <w:divBdr>
                <w:top w:val="none" w:sz="0" w:space="0" w:color="auto"/>
                <w:left w:val="none" w:sz="0" w:space="0" w:color="auto"/>
                <w:bottom w:val="none" w:sz="0" w:space="0" w:color="auto"/>
                <w:right w:val="none" w:sz="0" w:space="0" w:color="auto"/>
              </w:divBdr>
            </w:div>
          </w:divsChild>
        </w:div>
        <w:div w:id="1339963402">
          <w:marLeft w:val="0"/>
          <w:marRight w:val="0"/>
          <w:marTop w:val="0"/>
          <w:marBottom w:val="0"/>
          <w:divBdr>
            <w:top w:val="none" w:sz="0" w:space="0" w:color="auto"/>
            <w:left w:val="none" w:sz="0" w:space="0" w:color="auto"/>
            <w:bottom w:val="none" w:sz="0" w:space="0" w:color="auto"/>
            <w:right w:val="none" w:sz="0" w:space="0" w:color="auto"/>
          </w:divBdr>
        </w:div>
        <w:div w:id="1468354587">
          <w:marLeft w:val="0"/>
          <w:marRight w:val="0"/>
          <w:marTop w:val="0"/>
          <w:marBottom w:val="0"/>
          <w:divBdr>
            <w:top w:val="none" w:sz="0" w:space="0" w:color="auto"/>
            <w:left w:val="none" w:sz="0" w:space="0" w:color="auto"/>
            <w:bottom w:val="none" w:sz="0" w:space="0" w:color="auto"/>
            <w:right w:val="none" w:sz="0" w:space="0" w:color="auto"/>
          </w:divBdr>
        </w:div>
        <w:div w:id="1523320041">
          <w:marLeft w:val="0"/>
          <w:marRight w:val="0"/>
          <w:marTop w:val="0"/>
          <w:marBottom w:val="0"/>
          <w:divBdr>
            <w:top w:val="none" w:sz="0" w:space="0" w:color="auto"/>
            <w:left w:val="none" w:sz="0" w:space="0" w:color="auto"/>
            <w:bottom w:val="none" w:sz="0" w:space="0" w:color="auto"/>
            <w:right w:val="none" w:sz="0" w:space="0" w:color="auto"/>
          </w:divBdr>
        </w:div>
        <w:div w:id="1599823998">
          <w:marLeft w:val="0"/>
          <w:marRight w:val="0"/>
          <w:marTop w:val="0"/>
          <w:marBottom w:val="0"/>
          <w:divBdr>
            <w:top w:val="none" w:sz="0" w:space="0" w:color="auto"/>
            <w:left w:val="none" w:sz="0" w:space="0" w:color="auto"/>
            <w:bottom w:val="none" w:sz="0" w:space="0" w:color="auto"/>
            <w:right w:val="none" w:sz="0" w:space="0" w:color="auto"/>
          </w:divBdr>
        </w:div>
        <w:div w:id="1805469578">
          <w:marLeft w:val="0"/>
          <w:marRight w:val="0"/>
          <w:marTop w:val="0"/>
          <w:marBottom w:val="0"/>
          <w:divBdr>
            <w:top w:val="none" w:sz="0" w:space="0" w:color="auto"/>
            <w:left w:val="none" w:sz="0" w:space="0" w:color="auto"/>
            <w:bottom w:val="none" w:sz="0" w:space="0" w:color="auto"/>
            <w:right w:val="none" w:sz="0" w:space="0" w:color="auto"/>
          </w:divBdr>
        </w:div>
        <w:div w:id="1873227931">
          <w:marLeft w:val="0"/>
          <w:marRight w:val="0"/>
          <w:marTop w:val="0"/>
          <w:marBottom w:val="0"/>
          <w:divBdr>
            <w:top w:val="none" w:sz="0" w:space="0" w:color="auto"/>
            <w:left w:val="none" w:sz="0" w:space="0" w:color="auto"/>
            <w:bottom w:val="none" w:sz="0" w:space="0" w:color="auto"/>
            <w:right w:val="none" w:sz="0" w:space="0" w:color="auto"/>
          </w:divBdr>
        </w:div>
        <w:div w:id="1903714458">
          <w:marLeft w:val="0"/>
          <w:marRight w:val="0"/>
          <w:marTop w:val="0"/>
          <w:marBottom w:val="0"/>
          <w:divBdr>
            <w:top w:val="none" w:sz="0" w:space="0" w:color="auto"/>
            <w:left w:val="none" w:sz="0" w:space="0" w:color="auto"/>
            <w:bottom w:val="none" w:sz="0" w:space="0" w:color="auto"/>
            <w:right w:val="none" w:sz="0" w:space="0" w:color="auto"/>
          </w:divBdr>
        </w:div>
        <w:div w:id="1992100860">
          <w:marLeft w:val="0"/>
          <w:marRight w:val="0"/>
          <w:marTop w:val="0"/>
          <w:marBottom w:val="0"/>
          <w:divBdr>
            <w:top w:val="none" w:sz="0" w:space="0" w:color="auto"/>
            <w:left w:val="none" w:sz="0" w:space="0" w:color="auto"/>
            <w:bottom w:val="none" w:sz="0" w:space="0" w:color="auto"/>
            <w:right w:val="none" w:sz="0" w:space="0" w:color="auto"/>
          </w:divBdr>
        </w:div>
        <w:div w:id="2050493284">
          <w:marLeft w:val="0"/>
          <w:marRight w:val="0"/>
          <w:marTop w:val="0"/>
          <w:marBottom w:val="0"/>
          <w:divBdr>
            <w:top w:val="none" w:sz="0" w:space="0" w:color="auto"/>
            <w:left w:val="none" w:sz="0" w:space="0" w:color="auto"/>
            <w:bottom w:val="none" w:sz="0" w:space="0" w:color="auto"/>
            <w:right w:val="none" w:sz="0" w:space="0" w:color="auto"/>
          </w:divBdr>
        </w:div>
        <w:div w:id="2104302870">
          <w:marLeft w:val="0"/>
          <w:marRight w:val="0"/>
          <w:marTop w:val="0"/>
          <w:marBottom w:val="0"/>
          <w:divBdr>
            <w:top w:val="none" w:sz="0" w:space="0" w:color="auto"/>
            <w:left w:val="none" w:sz="0" w:space="0" w:color="auto"/>
            <w:bottom w:val="none" w:sz="0" w:space="0" w:color="auto"/>
            <w:right w:val="none" w:sz="0" w:space="0" w:color="auto"/>
          </w:divBdr>
        </w:div>
      </w:divsChild>
    </w:div>
    <w:div w:id="692997744">
      <w:bodyDiv w:val="1"/>
      <w:marLeft w:val="0"/>
      <w:marRight w:val="0"/>
      <w:marTop w:val="0"/>
      <w:marBottom w:val="0"/>
      <w:divBdr>
        <w:top w:val="none" w:sz="0" w:space="0" w:color="auto"/>
        <w:left w:val="none" w:sz="0" w:space="0" w:color="auto"/>
        <w:bottom w:val="none" w:sz="0" w:space="0" w:color="auto"/>
        <w:right w:val="none" w:sz="0" w:space="0" w:color="auto"/>
      </w:divBdr>
    </w:div>
    <w:div w:id="733236934">
      <w:bodyDiv w:val="1"/>
      <w:marLeft w:val="0"/>
      <w:marRight w:val="0"/>
      <w:marTop w:val="0"/>
      <w:marBottom w:val="0"/>
      <w:divBdr>
        <w:top w:val="none" w:sz="0" w:space="0" w:color="auto"/>
        <w:left w:val="none" w:sz="0" w:space="0" w:color="auto"/>
        <w:bottom w:val="none" w:sz="0" w:space="0" w:color="auto"/>
        <w:right w:val="none" w:sz="0" w:space="0" w:color="auto"/>
      </w:divBdr>
    </w:div>
    <w:div w:id="787164229">
      <w:bodyDiv w:val="1"/>
      <w:marLeft w:val="0"/>
      <w:marRight w:val="0"/>
      <w:marTop w:val="0"/>
      <w:marBottom w:val="0"/>
      <w:divBdr>
        <w:top w:val="none" w:sz="0" w:space="0" w:color="auto"/>
        <w:left w:val="none" w:sz="0" w:space="0" w:color="auto"/>
        <w:bottom w:val="none" w:sz="0" w:space="0" w:color="auto"/>
        <w:right w:val="none" w:sz="0" w:space="0" w:color="auto"/>
      </w:divBdr>
    </w:div>
    <w:div w:id="816145430">
      <w:bodyDiv w:val="1"/>
      <w:marLeft w:val="0"/>
      <w:marRight w:val="0"/>
      <w:marTop w:val="0"/>
      <w:marBottom w:val="0"/>
      <w:divBdr>
        <w:top w:val="none" w:sz="0" w:space="0" w:color="auto"/>
        <w:left w:val="none" w:sz="0" w:space="0" w:color="auto"/>
        <w:bottom w:val="none" w:sz="0" w:space="0" w:color="auto"/>
        <w:right w:val="none" w:sz="0" w:space="0" w:color="auto"/>
      </w:divBdr>
      <w:divsChild>
        <w:div w:id="107164186">
          <w:marLeft w:val="0"/>
          <w:marRight w:val="0"/>
          <w:marTop w:val="0"/>
          <w:marBottom w:val="0"/>
          <w:divBdr>
            <w:top w:val="none" w:sz="0" w:space="0" w:color="auto"/>
            <w:left w:val="none" w:sz="0" w:space="0" w:color="auto"/>
            <w:bottom w:val="none" w:sz="0" w:space="0" w:color="auto"/>
            <w:right w:val="none" w:sz="0" w:space="0" w:color="auto"/>
          </w:divBdr>
          <w:divsChild>
            <w:div w:id="17047151">
              <w:marLeft w:val="0"/>
              <w:marRight w:val="0"/>
              <w:marTop w:val="0"/>
              <w:marBottom w:val="0"/>
              <w:divBdr>
                <w:top w:val="none" w:sz="0" w:space="0" w:color="auto"/>
                <w:left w:val="none" w:sz="0" w:space="0" w:color="auto"/>
                <w:bottom w:val="none" w:sz="0" w:space="0" w:color="auto"/>
                <w:right w:val="none" w:sz="0" w:space="0" w:color="auto"/>
              </w:divBdr>
              <w:divsChild>
                <w:div w:id="1072964387">
                  <w:marLeft w:val="0"/>
                  <w:marRight w:val="0"/>
                  <w:marTop w:val="0"/>
                  <w:marBottom w:val="0"/>
                  <w:divBdr>
                    <w:top w:val="none" w:sz="0" w:space="0" w:color="auto"/>
                    <w:left w:val="none" w:sz="0" w:space="0" w:color="auto"/>
                    <w:bottom w:val="none" w:sz="0" w:space="0" w:color="auto"/>
                    <w:right w:val="none" w:sz="0" w:space="0" w:color="auto"/>
                  </w:divBdr>
                  <w:divsChild>
                    <w:div w:id="17093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7249">
      <w:bodyDiv w:val="1"/>
      <w:marLeft w:val="0"/>
      <w:marRight w:val="0"/>
      <w:marTop w:val="0"/>
      <w:marBottom w:val="0"/>
      <w:divBdr>
        <w:top w:val="none" w:sz="0" w:space="0" w:color="auto"/>
        <w:left w:val="none" w:sz="0" w:space="0" w:color="auto"/>
        <w:bottom w:val="none" w:sz="0" w:space="0" w:color="auto"/>
        <w:right w:val="none" w:sz="0" w:space="0" w:color="auto"/>
      </w:divBdr>
    </w:div>
    <w:div w:id="1037511820">
      <w:bodyDiv w:val="1"/>
      <w:marLeft w:val="0"/>
      <w:marRight w:val="0"/>
      <w:marTop w:val="0"/>
      <w:marBottom w:val="0"/>
      <w:divBdr>
        <w:top w:val="none" w:sz="0" w:space="0" w:color="auto"/>
        <w:left w:val="none" w:sz="0" w:space="0" w:color="auto"/>
        <w:bottom w:val="none" w:sz="0" w:space="0" w:color="auto"/>
        <w:right w:val="none" w:sz="0" w:space="0" w:color="auto"/>
      </w:divBdr>
    </w:div>
    <w:div w:id="1307202118">
      <w:bodyDiv w:val="1"/>
      <w:marLeft w:val="0"/>
      <w:marRight w:val="0"/>
      <w:marTop w:val="0"/>
      <w:marBottom w:val="0"/>
      <w:divBdr>
        <w:top w:val="none" w:sz="0" w:space="0" w:color="auto"/>
        <w:left w:val="none" w:sz="0" w:space="0" w:color="auto"/>
        <w:bottom w:val="none" w:sz="0" w:space="0" w:color="auto"/>
        <w:right w:val="none" w:sz="0" w:space="0" w:color="auto"/>
      </w:divBdr>
    </w:div>
    <w:div w:id="1479951903">
      <w:bodyDiv w:val="1"/>
      <w:marLeft w:val="0"/>
      <w:marRight w:val="0"/>
      <w:marTop w:val="0"/>
      <w:marBottom w:val="0"/>
      <w:divBdr>
        <w:top w:val="none" w:sz="0" w:space="0" w:color="auto"/>
        <w:left w:val="none" w:sz="0" w:space="0" w:color="auto"/>
        <w:bottom w:val="none" w:sz="0" w:space="0" w:color="auto"/>
        <w:right w:val="none" w:sz="0" w:space="0" w:color="auto"/>
      </w:divBdr>
    </w:div>
    <w:div w:id="1517571530">
      <w:bodyDiv w:val="1"/>
      <w:marLeft w:val="0"/>
      <w:marRight w:val="0"/>
      <w:marTop w:val="0"/>
      <w:marBottom w:val="0"/>
      <w:divBdr>
        <w:top w:val="none" w:sz="0" w:space="0" w:color="auto"/>
        <w:left w:val="none" w:sz="0" w:space="0" w:color="auto"/>
        <w:bottom w:val="none" w:sz="0" w:space="0" w:color="auto"/>
        <w:right w:val="none" w:sz="0" w:space="0" w:color="auto"/>
      </w:divBdr>
    </w:div>
    <w:div w:id="1558206483">
      <w:bodyDiv w:val="1"/>
      <w:marLeft w:val="0"/>
      <w:marRight w:val="0"/>
      <w:marTop w:val="0"/>
      <w:marBottom w:val="0"/>
      <w:divBdr>
        <w:top w:val="none" w:sz="0" w:space="0" w:color="auto"/>
        <w:left w:val="none" w:sz="0" w:space="0" w:color="auto"/>
        <w:bottom w:val="none" w:sz="0" w:space="0" w:color="auto"/>
        <w:right w:val="none" w:sz="0" w:space="0" w:color="auto"/>
      </w:divBdr>
    </w:div>
    <w:div w:id="1594703711">
      <w:bodyDiv w:val="1"/>
      <w:marLeft w:val="0"/>
      <w:marRight w:val="0"/>
      <w:marTop w:val="0"/>
      <w:marBottom w:val="0"/>
      <w:divBdr>
        <w:top w:val="none" w:sz="0" w:space="0" w:color="auto"/>
        <w:left w:val="none" w:sz="0" w:space="0" w:color="auto"/>
        <w:bottom w:val="none" w:sz="0" w:space="0" w:color="auto"/>
        <w:right w:val="none" w:sz="0" w:space="0" w:color="auto"/>
      </w:divBdr>
    </w:div>
    <w:div w:id="1910845204">
      <w:bodyDiv w:val="1"/>
      <w:marLeft w:val="0"/>
      <w:marRight w:val="0"/>
      <w:marTop w:val="0"/>
      <w:marBottom w:val="0"/>
      <w:divBdr>
        <w:top w:val="none" w:sz="0" w:space="0" w:color="auto"/>
        <w:left w:val="none" w:sz="0" w:space="0" w:color="auto"/>
        <w:bottom w:val="none" w:sz="0" w:space="0" w:color="auto"/>
        <w:right w:val="none" w:sz="0" w:space="0" w:color="auto"/>
      </w:divBdr>
    </w:div>
    <w:div w:id="2008826347">
      <w:bodyDiv w:val="1"/>
      <w:marLeft w:val="0"/>
      <w:marRight w:val="0"/>
      <w:marTop w:val="0"/>
      <w:marBottom w:val="0"/>
      <w:divBdr>
        <w:top w:val="none" w:sz="0" w:space="0" w:color="auto"/>
        <w:left w:val="none" w:sz="0" w:space="0" w:color="auto"/>
        <w:bottom w:val="none" w:sz="0" w:space="0" w:color="auto"/>
        <w:right w:val="none" w:sz="0" w:space="0" w:color="auto"/>
      </w:divBdr>
    </w:div>
    <w:div w:id="2056586190">
      <w:bodyDiv w:val="1"/>
      <w:marLeft w:val="0"/>
      <w:marRight w:val="0"/>
      <w:marTop w:val="0"/>
      <w:marBottom w:val="0"/>
      <w:divBdr>
        <w:top w:val="none" w:sz="0" w:space="0" w:color="auto"/>
        <w:left w:val="none" w:sz="0" w:space="0" w:color="auto"/>
        <w:bottom w:val="none" w:sz="0" w:space="0" w:color="auto"/>
        <w:right w:val="none" w:sz="0" w:space="0" w:color="auto"/>
      </w:divBdr>
    </w:div>
    <w:div w:id="2078701138">
      <w:bodyDiv w:val="1"/>
      <w:marLeft w:val="0"/>
      <w:marRight w:val="0"/>
      <w:marTop w:val="0"/>
      <w:marBottom w:val="0"/>
      <w:divBdr>
        <w:top w:val="none" w:sz="0" w:space="0" w:color="auto"/>
        <w:left w:val="none" w:sz="0" w:space="0" w:color="auto"/>
        <w:bottom w:val="none" w:sz="0" w:space="0" w:color="auto"/>
        <w:right w:val="none" w:sz="0" w:space="0" w:color="auto"/>
      </w:divBdr>
    </w:div>
    <w:div w:id="20821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quirk\Desktop\Forms\MJL%20Brief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DF557-BFD0-4187-B316-8EE48F20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Settings\amquirk\Desktop\Forms\MJL Briefing Template.dotx</Template>
  <TotalTime>1</TotalTime>
  <Pages>7</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To:</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amquirk</dc:creator>
  <cp:lastModifiedBy>Alexander Bauer</cp:lastModifiedBy>
  <cp:revision>2</cp:revision>
  <cp:lastPrinted>2022-02-17T20:16:00Z</cp:lastPrinted>
  <dcterms:created xsi:type="dcterms:W3CDTF">2024-10-02T23:35:00Z</dcterms:created>
  <dcterms:modified xsi:type="dcterms:W3CDTF">2024-10-02T23:35:00Z</dcterms:modified>
</cp:coreProperties>
</file>