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Toys</w:t>
      </w:r>
      <w:r>
        <w:rPr>
          <w:rFonts w:eastAsia="Google Sans" w:cs="Google Sans" w:ascii="Google Sans" w:hAnsi="Google Sans"/>
        </w:rPr>
        <w:t xml:space="preserve"> Botium: evaluación de riesgos</w:t>
      </w:r>
    </w:p>
    <w:p>
      <w:pPr>
        <w:pStyle w:val="Heading2"/>
        <w:rPr>
          <w:rFonts w:ascii="Google Sans" w:hAnsi="Google Sans" w:eastAsia="Google Sans" w:cs="Google Sans"/>
        </w:rPr>
      </w:pPr>
      <w:bookmarkStart w:id="0" w:name="_jdudu6fs5rtm"/>
      <w:bookmarkEnd w:id="0"/>
      <w:r>
        <w:rPr>
          <w:rFonts w:eastAsia="Google Sans" w:cs="Google Sans" w:ascii="Google Sans" w:hAnsi="Google Sans"/>
        </w:rPr>
        <w:t>Activos corrientes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Los activos administrados por el Departamento de TI incluyen: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Equipos locales para necesidades comerciales en la oficina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Equipos de los empleados: dispositivos de usuario final (computadoras de escritorio/portátiles, teléfonos inteligentes), estaciones de trabajo remotas, auriculares, cables, teclados, ratones, estaciones de acoplamiento, cámaras de vigilancia, etc.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Gestión de sistemas, software y servicios: contabilidad, telecomunicaciones, bases de datos, seguridad, comercio electrónico y gestión de inventarios.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acceso a Internet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Red interna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Gestión de acceso de proveedores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Servicios de alojamiento de centros de datos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Retención y almacenamiento de datos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Lectores de insignias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Mantenimiento de sistemas heredados: sistemas al final de su vida útil que requieren supervisión humana</w:t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5i80k6dm51vy"/>
      <w:bookmarkEnd w:id="1"/>
      <w:r>
        <w:rPr>
          <w:rFonts w:eastAsia="Google Sans" w:cs="Google Sans" w:ascii="Google Sans" w:hAnsi="Google Sans"/>
        </w:rPr>
        <w:t>Descripción del riesgo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sz w:val="24"/>
          <w:szCs w:val="24"/>
        </w:rPr>
        <w:t>Actualmente, la gestión de los activos es inadecuada. Además, Botium Toys no cuenta con los controles adecuados y es posible que no cumpla con las normas y regulaciones estadounidenses e internacionales.</w:t>
      </w:r>
      <w:r>
        <w:rPr>
          <w:rFonts w:eastAsia="Google Sans" w:cs="Google Sans" w:ascii="Google Sans" w:hAnsi="Google Sans"/>
        </w:rPr>
        <w:t xml:space="preserve"> </w:t>
      </w:r>
    </w:p>
    <w:p>
      <w:pPr>
        <w:pStyle w:val="Heading2"/>
        <w:rPr>
          <w:rFonts w:ascii="Google Sans" w:hAnsi="Google Sans" w:eastAsia="Google Sans" w:cs="Google Sans"/>
        </w:rPr>
      </w:pPr>
      <w:bookmarkStart w:id="2" w:name="_pepjp18yvpjs"/>
      <w:bookmarkEnd w:id="2"/>
      <w:r>
        <w:rPr>
          <w:rFonts w:eastAsia="Google Sans" w:cs="Google Sans" w:ascii="Google Sans" w:hAnsi="Google Sans"/>
        </w:rPr>
        <w:t>Mejores prácticas de control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La primera de las cinco funciones del CSF del NIST es Identificar. Botium Toys deberá dedicar recursos a la gestión de activos. Además, deberá determinar el impacto de la pérdida de activos existentes, incluidos los sistemas, en la continuidad del negocio.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3" w:name="_ghnlzhum2uiy"/>
      <w:bookmarkEnd w:id="3"/>
      <w:r>
        <w:rPr>
          <w:rFonts w:eastAsia="Google Sans" w:cs="Google Sans" w:ascii="Google Sans" w:hAnsi="Google Sans"/>
        </w:rPr>
        <w:t>Puntuación de riesgo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En una escala del 1 al 10, la puntuación de riesgo es 8, lo que es bastante alto. Esto se debe a la falta de controles y de cumplimiento de las normas y estándares necesarios.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4" w:name="_kmpxjpzb7q2o"/>
      <w:bookmarkEnd w:id="4"/>
      <w:r>
        <w:rPr>
          <w:rFonts w:eastAsia="Google Sans" w:cs="Google Sans" w:ascii="Google Sans" w:hAnsi="Google Sans"/>
        </w:rPr>
        <w:t>Comentarios adicionales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El impacto potencial de la pérdida de un activo se califica como medio, porque el departamento de TI no sabe qué activos se perderían. La probabilidad de pérdida de un activo o de multas por parte de los organismos gubernamentales es alta porque Botium Toys no cuenta con todos los controles necesarios y no cumple con las normas y regulaciones requeridas relacionadas con la privacidad de los datos de los clientes.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EasyOffice/7.6.2.1.0$Windows_X86_64 LibreOffice_project/0bc4d647150f05f02b71ccb5539a4012b57f1faf</Application>
  <AppVersion>15.0000</AppVersion>
  <Pages>2</Pages>
  <Words>310</Words>
  <Characters>1705</Characters>
  <CharactersWithSpaces>1985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2024-09-27T21:23:02Z</dcterms:modified>
  <cp:revision>1</cp:revision>
  <dc:subject/>
  <dc:title/>
</cp:coreProperties>
</file>