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Northwind Traders Sourcing Policy SP-14</w:t>
      </w:r>
    </w:p>
    <w:p>
      <w:r>
        <w:t>Category: organic green tea leaf. Applies to the 2026 annual supply contract and to any renewal awarded under it. Owner: Northwind Sourcing Council. Version 3.2, effective 2026-01-01.</w:t>
      </w:r>
    </w:p>
    <w:p>
      <w:pPr>
        <w:pStyle w:val="Heading2"/>
      </w:pPr>
      <w:r>
        <w:t>1. Contract parameters</w:t>
      </w:r>
    </w:p>
    <w:p>
      <w:pPr>
        <w:pStyle w:val="ListBullet"/>
      </w:pPr>
      <w:r>
        <w:t>Contract volume: 12,000 cases.</w:t>
      </w:r>
    </w:p>
    <w:p>
      <w:pPr>
        <w:pStyle w:val="ListBullet"/>
      </w:pPr>
      <w:r>
        <w:t>Contract start date: 2026-04-01. Term: 12 months.</w:t>
      </w:r>
    </w:p>
    <w:p>
      <w:pPr>
        <w:pStyle w:val="ListBullet"/>
      </w:pPr>
      <w:r>
        <w:t>Baseline landed price index: 100. The index already includes freight, duty, and insurance.</w:t>
      </w:r>
    </w:p>
    <w:p>
      <w:pPr>
        <w:pStyle w:val="Heading2"/>
      </w:pPr>
      <w:r>
        <w:t>2. Eligibility rules</w:t>
      </w:r>
    </w:p>
    <w:p>
      <w:pPr>
        <w:pStyle w:val="ListBullet"/>
      </w:pPr>
      <w:r>
        <w:t>R1. The supplier's ISO 9001 certification must still be valid on the contract start date. A certification that expires before that date makes the supplier ineligible, even if renewal is in progress.</w:t>
      </w:r>
    </w:p>
    <w:p>
      <w:pPr>
        <w:pStyle w:val="ListBullet"/>
      </w:pPr>
      <w:r>
        <w:t>R2. Trailing twelve-month on-time delivery must be 95.0 percent or higher.</w:t>
      </w:r>
    </w:p>
    <w:p>
      <w:pPr>
        <w:pStyle w:val="ListBullet"/>
      </w:pPr>
      <w:r>
        <w:t>R3. The supplier must have no open incident of severity major or critical. Closed incidents of any severity do not disqualify a supplier, and an open incident of severity minor does not disqualify a supplier.</w:t>
      </w:r>
    </w:p>
    <w:p>
      <w:pPr>
        <w:pStyle w:val="ListBullet"/>
      </w:pPr>
      <w:r>
        <w:t>R4. Landed price index must not exceed 108. There is no exception for quality or capacity.</w:t>
      </w:r>
    </w:p>
    <w:p>
      <w:pPr>
        <w:pStyle w:val="Heading2"/>
      </w:pPr>
      <w:r>
        <w:t>3. Award rules</w:t>
      </w:r>
    </w:p>
    <w:p>
      <w:pPr>
        <w:pStyle w:val="ListBullet"/>
      </w:pPr>
      <w:r>
        <w:t>R5. Concentration cap: no single supplier may be awarded more than 60 percent of the contract volume.</w:t>
      </w:r>
    </w:p>
    <w:p>
      <w:pPr>
        <w:pStyle w:val="ListBullet"/>
      </w:pPr>
      <w:r>
        <w:t>R6. Continuity: when the volume is split, the secondary supplier must be based in a different region than the primary supplier.</w:t>
      </w:r>
    </w:p>
    <w:p>
      <w:pPr>
        <w:pStyle w:val="ListBullet"/>
      </w:pPr>
      <w:r>
        <w:t>R7. Ranking: rank the eligible suppliers by on-time delivery (highest first), then by defect rate (lowest first), then by landed price index (lowest first). Award the primary supplier the largest volume its annual capacity and the concentration cap allow. Award the remaining volume to the highest ranked eligible supplier in a different region whose capacity covers that remainder.</w:t>
      </w:r>
    </w:p>
    <w:p>
      <w:pPr>
        <w:pStyle w:val="ListBullet"/>
      </w:pPr>
      <w:r>
        <w:t>R8. If no combination of eligible suppliers covers the full contract volume, do not award a partial contract. Escalate to the Sourcing Council with the shortfall stated in cases.</w:t>
      </w:r>
    </w:p>
    <w:p>
      <w:pPr>
        <w:pStyle w:val="Heading2"/>
      </w:pPr>
      <w:r>
        <w:t>4. Documentation</w:t>
      </w:r>
    </w:p>
    <w:p>
      <w:r>
        <w:t>Every award recommendation must name each supplier that was screened out and the rule number that excluded it, state the volume split in cases and in percent of contract volume, and confirm that the concentration cap and the continuity rule are both satisfied.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