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[NOME DA INSTITUIÇÃO DE ENSINO]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[NOME DO CURSO]</w:t>
      </w:r>
    </w:p>
    <w:p/>
    <w:p/>
    <w:p/>
    <w:p/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[NOME DO(A) ALUNO(A) 1]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[NOME DO(A) ALUNO(A) 2]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[NOME DO(A) ALUNO(A) 3]</w:t>
      </w:r>
    </w:p>
    <w:p/>
    <w:p/>
    <w:p/>
    <w:p/>
    <w:p/>
    <w:p/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NEGOCIAÇÕES NA BOLSA DE VALORES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modelagem conceitual, lógica e física de banco de dados para uma corretora</w:t>
      </w:r>
    </w:p>
    <w:p/>
    <w:p/>
    <w:p/>
    <w:p/>
    <w:p/>
    <w:p/>
    <w:p/>
    <w:p/>
    <w:p/>
    <w:p/>
    <w:p/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[CIDADE]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2026</w:t>
      </w:r>
    </w:p>
    <w:p>
      <w:pPr>
        <w:sectPr>
          <w:headerReference w:type="default" r:id="rId9"/>
          <w:pgSz w:w="11906" w:h="16838"/>
          <w:pgMar w:top="1701" w:right="1134" w:bottom="1134" w:left="1701" w:header="1134" w:footer="850" w:gutter="0"/>
          <w:cols w:space="720"/>
          <w:docGrid w:linePitch="360"/>
        </w:sectPr>
      </w:pP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[NOME DO(A) ALUNO(A) 1]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[NOME DO(A) ALUNO(A) 2]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[NOME DO(A) ALUNO(A) 3]</w:t>
      </w:r>
    </w:p>
    <w:p/>
    <w:p/>
    <w:p/>
    <w:p/>
    <w:p/>
    <w:p/>
    <w:p/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NEGOCIAÇÕES NA BOLSA DE VALORES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modelagem conceitual, lógica e física de banco de dados para uma corretora</w:t>
      </w:r>
    </w:p>
    <w:p/>
    <w:p/>
    <w:p/>
    <w:p>
      <w:pPr>
        <w:spacing w:before="0" w:after="0" w:line="240" w:lineRule="auto"/>
        <w:ind w:firstLine="0" w:left="4535"/>
        <w:jc w:val="both"/>
      </w:pPr>
      <w:r>
        <w:rPr>
          <w:rFonts w:ascii="Times New Roman" w:hAnsi="Times New Roman" w:eastAsia="Times New Roman"/>
          <w:color w:val="000000"/>
          <w:sz w:val="24"/>
        </w:rPr>
        <w:t>Relatório de resultados apresentado à disciplina de Banco de Dados do [NOME DO CURSO], [NOME DA INSTITUIÇÃO DE ENSINO], como requisito parcial de avaliação: modelagem conceitual, lógica e física do caso “Negociações na Bolsa de Valores”.</w:t>
      </w:r>
    </w:p>
    <w:p/>
    <w:p>
      <w:pPr>
        <w:spacing w:before="0" w:after="0" w:line="240" w:lineRule="auto"/>
        <w:ind w:firstLine="0" w:left="4535"/>
        <w:jc w:val="left"/>
      </w:pPr>
      <w:r>
        <w:rPr>
          <w:rFonts w:ascii="Times New Roman" w:hAnsi="Times New Roman" w:eastAsia="Times New Roman"/>
          <w:color w:val="000000"/>
          <w:sz w:val="24"/>
        </w:rPr>
        <w:t>Professor(a): [Nome do(a) Professor(a)]</w:t>
      </w:r>
    </w:p>
    <w:p/>
    <w:p/>
    <w:p/>
    <w:p/>
    <w:p/>
    <w:p/>
    <w:p/>
    <w:p/>
    <w:p/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[CIDADE]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2026</w:t>
      </w:r>
    </w:p>
    <w:p>
      <w:pPr>
        <w:pageBreakBefore/>
        <w:spacing w:before="0" w:after="36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RESUMO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/>
          <w:color w:val="000000"/>
          <w:sz w:val="24"/>
        </w:rPr>
        <w:t>Este relatório apresenta a modelagem de banco de dados para o sistema de uma corretora que gerencia investidores, ações, negociações, histórico de cotações e saldo de carteira. O trabalho foi conduzido nas três etapas clássicas do projeto de bancos de dados: modelo conceitual, em notação Entidade-Relacionamento (Chen) elaborada com a ferramenta brModelo; modelo lógico relacional, obtido pelas regras de mapeamento ER-relacional e verificado até a terceira forma normal; e modelo físico, implementado em PostgreSQL 16 por meio de um script com instruções de definição (DDL), manipulação (DML) e consulta (DQL) de dados. Foram identificadas cinco entidades e cinco relacionamentos, dos quais um relacionamento muitos-para-muitos com atributos (carteira) e uma entidade fraca (cotação). O modelo físico implementa as regras de negócio no próprio SGBD, com restrições de integridade, gatilhos que mantêm a carteira a partir das negociações e impedem vendas sem saldo, e uma função para análise retrospectiva com base no histórico de cotações. O script foi executado integralmente sem erros e as dezesseis consultas analíticas produziram os resultados esperados.</w:t>
      </w:r>
    </w:p>
    <w:p/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 xml:space="preserve">Palavras-chave: </w:t>
      </w:r>
      <w:r>
        <w:rPr>
          <w:rFonts w:ascii="Times New Roman" w:hAnsi="Times New Roman" w:eastAsia="Times New Roman"/>
          <w:color w:val="000000"/>
          <w:sz w:val="24"/>
        </w:rPr>
        <w:t>modelagem de dados; modelo entidade-relacionamento; modelo relacional; PostgreSQL; bolsa de valores.</w:t>
      </w:r>
    </w:p>
    <w:p>
      <w:pPr>
        <w:pageBreakBefore/>
        <w:spacing w:before="0" w:after="36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LISTA DE FIGURAS</w:t>
      </w:r>
    </w:p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fldChar w:fldCharType="begin" w:dirty="true"/>
      </w:r>
      <w:r>
        <w:rPr>
          <w:rFonts w:ascii="Times New Roman" w:hAnsi="Times New Roman" w:eastAsia="Times New Roman"/>
          <w:color w:val="000000"/>
          <w:sz w:val="24"/>
        </w:rPr>
        <w:instrText xml:space="preserve"> TOC \h \z \c "Figura" </w:instrText>
      </w:r>
      <w:r>
        <w:rPr>
          <w:rFonts w:ascii="Times New Roman" w:hAnsi="Times New Roman" w:eastAsia="Times New Roman"/>
          <w:color w:val="000000"/>
          <w:sz w:val="24"/>
        </w:rPr>
        <w:fldChar w:fldCharType="separate"/>
      </w:r>
      <w:r>
        <w:rPr>
          <w:rFonts w:ascii="Times New Roman" w:hAnsi="Times New Roman" w:eastAsia="Times New Roman"/>
          <w:color w:val="000000"/>
          <w:sz w:val="24"/>
        </w:rPr>
        <w:t>(atualize os campos: F9)</w:t>
      </w:r>
      <w:r>
        <w:rPr>
          <w:rFonts w:ascii="Times New Roman" w:hAnsi="Times New Roman" w:eastAsia="Times New Roman"/>
          <w:color w:val="000000"/>
          <w:sz w:val="24"/>
        </w:rPr>
        <w:fldChar w:fldCharType="end"/>
      </w:r>
    </w:p>
    <w:p>
      <w:pPr>
        <w:pageBreakBefore/>
        <w:spacing w:before="0" w:after="36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LISTA DE QUADROS</w:t>
      </w:r>
    </w:p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fldChar w:fldCharType="begin" w:dirty="true"/>
      </w:r>
      <w:r>
        <w:rPr>
          <w:rFonts w:ascii="Times New Roman" w:hAnsi="Times New Roman" w:eastAsia="Times New Roman"/>
          <w:color w:val="000000"/>
          <w:sz w:val="24"/>
        </w:rPr>
        <w:instrText xml:space="preserve"> TOC \h \z \c "Quadro" </w:instrText>
      </w:r>
      <w:r>
        <w:rPr>
          <w:rFonts w:ascii="Times New Roman" w:hAnsi="Times New Roman" w:eastAsia="Times New Roman"/>
          <w:color w:val="000000"/>
          <w:sz w:val="24"/>
        </w:rPr>
        <w:fldChar w:fldCharType="separate"/>
      </w:r>
      <w:r>
        <w:rPr>
          <w:rFonts w:ascii="Times New Roman" w:hAnsi="Times New Roman" w:eastAsia="Times New Roman"/>
          <w:color w:val="000000"/>
          <w:sz w:val="24"/>
        </w:rPr>
        <w:t>(atualize os campos: F9)</w:t>
      </w:r>
      <w:r>
        <w:rPr>
          <w:rFonts w:ascii="Times New Roman" w:hAnsi="Times New Roman" w:eastAsia="Times New Roman"/>
          <w:color w:val="000000"/>
          <w:sz w:val="24"/>
        </w:rPr>
        <w:fldChar w:fldCharType="end"/>
      </w:r>
    </w:p>
    <w:p>
      <w:pPr>
        <w:pageBreakBefore/>
        <w:spacing w:before="0" w:after="36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SUMÁRIO</w:t>
      </w:r>
    </w:p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fldChar w:fldCharType="begin" w:dirty="true"/>
      </w:r>
      <w:r>
        <w:rPr>
          <w:rFonts w:ascii="Times New Roman" w:hAnsi="Times New Roman" w:eastAsia="Times New Roman"/>
          <w:color w:val="000000"/>
          <w:sz w:val="24"/>
        </w:rPr>
        <w:instrText xml:space="preserve"> TOC \o "1-3" \h \z \u </w:instrText>
      </w:r>
      <w:r>
        <w:rPr>
          <w:rFonts w:ascii="Times New Roman" w:hAnsi="Times New Roman" w:eastAsia="Times New Roman"/>
          <w:color w:val="000000"/>
          <w:sz w:val="24"/>
        </w:rPr>
        <w:fldChar w:fldCharType="separate"/>
      </w:r>
      <w:r>
        <w:rPr>
          <w:rFonts w:ascii="Times New Roman" w:hAnsi="Times New Roman" w:eastAsia="Times New Roman"/>
          <w:color w:val="000000"/>
          <w:sz w:val="24"/>
        </w:rPr>
        <w:t>(atualize os campos: F9)</w:t>
      </w:r>
      <w:r>
        <w:rPr>
          <w:rFonts w:ascii="Times New Roman" w:hAnsi="Times New Roman" w:eastAsia="Times New Roman"/>
          <w:color w:val="000000"/>
          <w:sz w:val="24"/>
        </w:rPr>
        <w:fldChar w:fldCharType="end"/>
      </w:r>
    </w:p>
    <w:p>
      <w:pPr>
        <w:sectPr>
          <w:headerReference w:type="default" r:id="rId10"/>
          <w:pgSz w:w="11906" w:h="16838"/>
          <w:pgMar w:top="1701" w:right="1134" w:bottom="1134" w:left="1701" w:header="1134" w:footer="850" w:gutter="0"/>
          <w:cols w:space="720"/>
          <w:docGrid w:linePitch="360"/>
          <w:pgNumType w:start="1"/>
        </w:sectPr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 INTRODUÇÃO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projeto de um banco de dados relacional é tradicionalmente dividido em três níveis de abstração: o conceitual, que descreve o domínio de forma independente de tecnologia; o lógico, que traduz esse domínio para o modelo de dados do SGBD escolhido; e o físico, que define como os dados serão efetivamente armazenados, restringidos e consultados (HEUSER, 2009; ELMASRI; NAVATHE, 2018). Este relatório documenta a aplicação dessas três etapas ao caso de uma corretora de valores.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objetivo geral é produzir um esquema de banco de dados completo, correto e executável para o gerenciamento de investidores, ações, negociações, histórico de cotações e saldo de carteira. Como objetivos específicos, buscou-se: (a) representar o domínio em um diagrama Entidade-Relacionamento; (b) derivar o esquema relacional normalizado; (c) implementar o esquema em PostgreSQL com as regras de negócio expressas no próprio banco; e (d) demonstrar, por meio de consultas, que o modelo atende às análises requeridas, inclusive as de séries temporais e as retrospectivas.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documento está organizado da seguinte forma: a seção 2 descreve o problema e os requisitos extraídos do enunciado; a seção 3 apresenta o modelo conceitual; a seção 4, o modelo lógico; a seção 5, o modelo físico; a seção 6 relata a validação e os resultados obtidos; e a seção 7 traz as considerações finais. O script SQL completo acompanha este relatório como arquivo anexo.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 DESCRIÇÃO DO PROBLEMA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2.1 Enunciado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Uma corretora deseja criar um sistema para gerenciar investidores, ações e suas negociações na bolsa de valores. Cada investidor é identificado por CPF ou CNPJ e possui nome completo, tipo (pessoa física ou jurídica), e-mail e telefone. Cada ação pertence a uma empresa listada na bolsa, identificada por seu ticker, com nome da empresa, setor de atuação e valor de mercado. Os investidores realizam negociações de compra ou venda, registrando-se data e hora, tipo de operação, quantidade e valor unitário no momento da transação. A corretora mantém ainda o histórico de cotações de cada ação (data, hora e valor) para análises de séries temporais, e acompanha o saldo de carteira de cada investidor, atualizado a partir das negociações e passível de análise retrospectiva com base no histórico de cotações.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2.2 Requisitos identificados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Da leitura do enunciado foram extraídos os requisitos funcionais (RF) e as regras de negócio (RN) relacionados no Quadro 1.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1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Requisitos funcionais e regras de negócio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4535"/>
        <w:gridCol w:w="4535"/>
      </w:tblGrid>
      <w:tr>
        <w:trPr>
          <w:tblHeader w:val="true"/>
        </w:trP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Código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Descrição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RF01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Cadastrar investidores pessoa física (CPF) e jurídica (CNPJ), sem duplicidade de documento.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RF02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Cadastrar empresas listadas e seus papéis; uma empresa pode ter mais de um ticker.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RF03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Registrar negociações de compra e venda com data/hora, quantidade e preço do momento.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RF04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Armazenar o histórico intradiário de cotações de cada ação.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RF05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Manter a posição (carteira) de cada investidor atualizada a partir das negociações.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RF06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Permitir análise retrospectiva: valor da carteira em qualquer instante passado.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RN01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Um investidor não pode vender mais ações do que possui.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RN02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 negociação é registro contábil: não pode ser alterada nem excluída.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RN03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Existe no máximo uma cotação por ação em cada instante.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2.3 Metodologia e ferramentas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Adotou-se a metodologia de projeto em três níveis (conceitual, lógico e físico). O modelo conceitual foi construído em notação de Chen com a ferramenta brModelo (CÂNDIDO, 2021); o modelo lógico foi derivado pelas regras de mapeamento ER-relacional e verificado quanto às formas normais; o modelo físico foi implementado e testado no PostgreSQL 16 (POSTGRESQL GLOBAL DEVELOPMENT GROUP, 2024). Os diagramas foram gerados por scripts versionados, de modo que qualquer alteração no modelo pode ser reproduzida.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 MODELO CONCEITUAL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modelo conceitual (Figura 1) representa o domínio por meio de entidades, relacionamentos e atributos, sem compromisso com a tecnologia de armazenamento. Foram identificadas cinco entidades e cinco relacionamentos, descritos nos Quadros 2 e 3.</w:t>
      </w:r>
    </w:p>
    <w:p>
      <w:pPr>
        <w:sectPr>
          <w:headerReference w:type="default" r:id="rId11"/>
          <w:pgSz w:w="11906" w:h="16838"/>
          <w:pgMar w:top="1701" w:right="1134" w:bottom="1134" w:left="1701" w:header="1134" w:footer="850" w:gutter="0"/>
          <w:cols w:space="720"/>
          <w:docGrid w:linePitch="360"/>
        </w:sectPr>
      </w:pP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Figura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Figura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1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Modelo conceitual em notação Entidade-Relacionamento (Chen)</w:t>
      </w: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540139" cy="48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conceit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40139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sectPr>
          <w:headerReference w:type="default" r:id="rId12"/>
          <w:pgSz w:w="16838" w:h="11906" w:orient="landscape"/>
          <w:pgMar w:top="1701" w:right="1134" w:bottom="1134" w:left="1701" w:header="1134" w:footer="850" w:gutter="0"/>
          <w:cols w:space="720"/>
          <w:docGrid w:linePitch="360"/>
        </w:sectPr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3.1 Entidades e atributos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2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Entidades e atributos do modelo conceitual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Entidade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Descrição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Atributos (identificador em caixa alta)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EMPRESA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Companhia listada na bolsa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ID_EMPRESA, cnpj, nome, setor, valor_mercado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AÇÃO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Papel negociado, identificado pelo ticker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ID_ACAO, ticker, tipo_acao, ativa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INVESTIDOR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Cliente da corretora, PF ou PJ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ID_INVESTIDOR, documento (CPF/CNPJ), tipo_investidor, nome_completo, email, telefone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NEGOCIAÇÃO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Compra ou venda de uma ação por um investidor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ID_NEGOCIACAO, data_hora, tipo_operacao, quantidade, valor_unitario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COTAÇÃO (fraca)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Preço de uma ação em um instante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data_hora (chave parcial), valor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3.2 Relacionamentos e cardinalidades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3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Relacionamentos e cardinalidades (mínimo, máximo)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04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Relacionamento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Entidades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Cardinalidade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Atributos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emite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EMPRESA – AÇÃO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EMPRESA (1,n); AÇÃO (1,1)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–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possui (identificador)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AÇÃO – COTAÇÃO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AÇÃO (1,n); COTAÇÃO (1,1)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–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realiza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INVESTIDOR – NEGOCIAÇÃO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INVESTIDOR (0,n); NEGOCIAÇÃO (1,1)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–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refere-se a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AÇÃO – NEGOCIAÇÃO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AÇÃO (0,n); NEGOCIAÇÃO (1,1)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–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mantém (carteira)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INVESTIDOR – AÇÃO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INVESTIDOR (0,n); AÇÃO (0,n)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quantidade, preco_medio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3.3 Decisões de modelagem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Negociação foi modelada como entidade, e não como relacionamento muitos-para-muitos entre Investidor e Ação. O enunciado afirma que um mesmo investidor pode negociar várias ações ao longo do tempo: o mesmo par (investidor, ação) ocorre muitas vezes, cada uma com data e hora, tipo, quantidade e preço próprios. Um relacionamento admitiria apenas uma ocorrência por par, o que não representaria o domínio.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A carteira, por sua vez, é exatamente um relacionamento muitos-para-muitos com atributos, pois a posição atual é única por par (investidor, ação). Trata-se de informação derivada das negociações, e essa derivação é implementada no modelo físico por um gatilho, garantindo consistência.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Cotação é uma entidade fraca de Ação: não existe cotação sem ação e sua identificação depende do par (ação, data_hora), razão pela qual o relacionamento possui é identificador. Empresa foi separada de Ação porque nome, setor e valor de mercado pertencem à companhia, que pode emitir mais de um papel, como PETR3 e PETR4. Por fim, o investidor guarda CPF ou CNPJ em um único atributo documento, qualificado pelo tipo de investidor; no modelo físico essa regra torna-se uma restrição de unicidade e uma restrição de verificação de onze ou catorze dígitos.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 MODELO LÓGICO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modelo lógico relacional (Figura 2) foi obtido a partir do conceitual pelas regras de mapeamento ER-relacional: cada entidade tornou-se uma tabela; relacionamentos um-para-muitos tornaram-se chaves estrangeiras no lado muitos; o relacionamento muitos-para-muitos com atributos tornou-se uma tabela associativa com chave primária composta; e a entidade fraca herdou a chave da entidade proprietária.</w:t>
      </w:r>
    </w:p>
    <w:p>
      <w:pPr>
        <w:sectPr>
          <w:headerReference w:type="default" r:id="rId14"/>
          <w:pgSz w:w="11906" w:h="16838"/>
          <w:pgMar w:top="1701" w:right="1134" w:bottom="1134" w:left="1701" w:header="1134" w:footer="850" w:gutter="0"/>
          <w:cols w:space="720"/>
          <w:docGrid w:linePitch="360"/>
        </w:sectPr>
      </w:pP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Figura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Figura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2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Modelo lógico relacional (esquema bolsa)</w:t>
      </w: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59920" cy="48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log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159920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sectPr>
          <w:headerReference w:type="default" r:id="rId15"/>
          <w:pgSz w:w="16838" w:h="11906" w:orient="landscape"/>
          <w:pgMar w:top="1701" w:right="1134" w:bottom="1134" w:left="1701" w:header="1134" w:footer="850" w:gutter="0"/>
          <w:cols w:space="720"/>
          <w:docGrid w:linePitch="360"/>
        </w:sectPr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4.1 Esquema relacional em notação textual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>EMPRESA (id_empresa, cnpj, nome, setor, valor_mercado, atualizado_em)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PK: id_empresa   UQ: cnpj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>ACAO (id_acao, ticker, id_empresa, tipo_acao, ativa)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PK: id_acao   UQ: ticker   FK: id_empresa -&gt; EMPRESA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>INVESTIDOR (id_investidor, documento, tipo_investidor, nome_completo,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 email, telefone, criado_em)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PK: id_investidor   UQ: documento   UQ: email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>COTACAO (id_cotacao, id_acao, data_hora, valor)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PK: id_cotacao   UQ: (id_acao, data_hora)   FK: id_acao -&gt; ACAO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>NEGOCIACAO (id_negociacao, id_investidor, id_acao, data_hora, tipo_operacao,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 quantidade, valor_unitario, valor_total)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PK: id_negociacao   FK: id_investidor -&gt; INVESTIDOR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FK: id_acao -&gt; ACAO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>CARTEIRA (id_investidor, id_acao, quantidade, preco_medio, atualizado_em)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PK: (id_investidor, id_acao)   FK: id_investidor -&gt; INVESTIDOR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FK: id_acao -&gt; ACAO</w:t>
      </w:r>
    </w:p>
    <w:p/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4.2 Mapeamento do modelo conceitual para o lógico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4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Regras de mapeamento aplicadas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Elemento conceitual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Resultado lógico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Regra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Entidades EMPRESA, AÇÃO, INVESTIDOR, NEGOCIAÇÃO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Uma tabela cada, com chave substituta id_*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Entidade → tabela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emite (1:N)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Chave estrangeira acao.id_empresa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1:N → FK no lado N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COTAÇÃO (fraca) + possui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Tabela cotacao com FK id_acao e UNIQUE (id_acao, data_hora)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Entidade fraca herda a chave do dono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realiza e refere-se a (1:N)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FKs negociacao.id_investidor e negociacao.id_acao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1:N → FK no lado N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mantém (N:N com atributos)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Tabela carteira, PK composta (id_investidor, id_acao) e atributos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N:N → tabela associativa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Atributo derivado valor_total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Coluna gerada quantidade × valor_unitario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Derivado → calculado no SGBD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4.3 Dicionário de dados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Os Quadros 5 a 10 detalham as colunas, os tipos e as restrições de cada tabela do esquema.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5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Tabela EMPRESA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Restrições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id_empresa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 identity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Chave primária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cnpj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único; 14 dígitos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setor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valor_mercado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numeric(18,2)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≥ 0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atualizado_em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timestamptz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padrão now()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6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Tabela ACAO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Restrições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id_acao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 identity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Chave primária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ticker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único; 4 letras e 1–2 dígitos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id_empresa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FK → empresa (RESTRICT)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tipo_acao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ON, PN ou UNIT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ativa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boolean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padrão verdadeiro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7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Tabela INVESTIDOR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Restrições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id_investidor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 identity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Chave primária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documento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único; 11 dígitos (PF) ou 14 (PJ)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tipo_investidor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PF ou PJ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nome_completo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único; formato válido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Opcional; 10–11 dígitos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timestamptz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padrão now()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8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Tabela COTACAO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Restrições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id_cotacao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 identity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Chave primária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id_acao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FK → acao (CASCADE)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data_hora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timestamptz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único com id_acao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valor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numeric(12,4)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&gt; 0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9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Tabela NEGOCIACAO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Restrições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id_negociacao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 identity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Chave primária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id_investidor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FK → investidor (RESTRICT)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id_acao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FK → acao (RESTRICT)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data_hora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timestamptz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padrão now()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tipo_operacao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COMPRA ou VENDA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quantidade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integer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&gt; 0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valor_unitario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numeric(12,4)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&gt; 0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valor_total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numeric(18,2)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Coluna gerada: quantidade × valor_unitario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10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Tabela CARTEIRA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Restrições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id_investidor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PK; FK → investidor (CASCADE)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id_acao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PK; FK → acao (RESTRICT)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quantidade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integer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≥ 0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preco_medio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numeric(12,4)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≥ 0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atualizado_em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timestamptz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4.4 Normalização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esquema encontra-se na terceira forma normal. Na primeira forma normal, todos os atributos são atômicos: há um único telefone e um único documento por investidor, sem listas em coluna. Na segunda forma normal, a única chave primária composta é a de CARTEIRA, e seus atributos quantidade, preco_medio e atualizado_em dependem do par completo (investidor e ação). Na terceira forma normal, nenhum atributo depende de outro atributo não chave: os dados da companhia ficam em EMPRESA e não se repetem por papel. O atributo valor_total é derivado, mas materializado como coluna gerada pelo SGBD, o que elimina o risco de inconsistência.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 MODELO FÍSICO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modelo físico foi implementado em PostgreSQL 16 no arquivo 00_bolsa_completo.sql, anexo a este relatório, que reúne as instruções de definição (DDL), manipulação (DML) e consulta (DQL) de dados. Os padrões adotados estão resumidos no Quadro 11.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11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Padrões adotados no modelo físico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4535"/>
        <w:gridCol w:w="4535"/>
      </w:tblGrid>
      <w:tr>
        <w:trPr>
          <w:tblHeader w:val="true"/>
        </w:trP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Aspecto</w:t>
            </w:r>
          </w:p>
        </w:tc>
        <w:tc>
          <w:tcPr>
            <w:tcW w:type="dxa" w:w="725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Decisão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Nomenclatura</w:t>
            </w:r>
          </w:p>
        </w:tc>
        <w:tc>
          <w:tcPr>
            <w:tcW w:type="dxa" w:w="725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Identificadores em snake_case; prefixos pk_, fk_, uq_, ck_, ix_, trg_, fn_, vw_.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Chaves</w:t>
            </w:r>
          </w:p>
        </w:tc>
        <w:tc>
          <w:tcPr>
            <w:tcW w:type="dxa" w:w="725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Chave primária bigint IDENTITY; chaves naturais (CPF/CNPJ, ticker) como UNIQUE.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Tipos</w:t>
            </w:r>
          </w:p>
        </w:tc>
        <w:tc>
          <w:tcPr>
            <w:tcW w:type="dxa" w:w="725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 em vez de varchar(n); numeric para valores monetários; timestamptz para data e hora.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Integridade</w:t>
            </w:r>
          </w:p>
        </w:tc>
        <w:tc>
          <w:tcPr>
            <w:tcW w:type="dxa" w:w="725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Regras de negócio no banco: CHECK, UNIQUE, FKs com ação explícita e gatilhos.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Índices</w:t>
            </w:r>
          </w:p>
        </w:tc>
        <w:tc>
          <w:tcPr>
            <w:tcW w:type="dxa" w:w="725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Toda FK indexada; compostos (igualdade antes de intervalo); BRIN na série temporal.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Segurança</w:t>
            </w:r>
          </w:p>
        </w:tc>
        <w:tc>
          <w:tcPr>
            <w:tcW w:type="dxa" w:w="725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Papel bolsa_leitura somente-leitura para analistas (menor privilégio).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Documentação</w:t>
            </w:r>
          </w:p>
        </w:tc>
        <w:tc>
          <w:tcPr>
            <w:tcW w:type="dxa" w:w="725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COMMENT ON em esquema, tabelas, colunas e funções.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5.1 Definição de dados (DDL)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esquema bolsa contém seis tabelas. As regras de negócio foram traduzidas em restrições: o CPF de pessoa física deve ter onze dígitos e o CNPJ de pessoa jurídica, catorze; o ticker segue o padrão de quatro letras e um ou dois dígitos; quantidades e preços são positivos; e cada ação tem no máximo uma cotação por instante. Um gatilho AFTER INSERT em negociacao atualiza a carteira, recalculando o preço médio nas compras e rejeitando vendas sem saldo (RN01); outro gatilho bloqueia UPDATE e DELETE em negociacao (RN02). A função fn_carteira_em reconstrói a posição de um investidor em qualquer instante passado e a valoriza pela última cotação conhecida até aquele momento (RF06). Três visões (vw_cotacao_atual, vw_posicao_valorizada e vw_extrato_negociacoes) simplificam as consultas de uso frequente. O trecho a seguir ilustra a definição da tabela negociacao.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>CREATE TABLE bolsa.negociacao (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id_negociacao   bigint        GENERATED ALWAYS AS IDENTITY,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id_investidor   bigint        NOT NULL,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id_acao         bigint        NOT NULL,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data_hora       timestamptz   NOT NULL DEFAULT now(),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tipo_operacao   text          NOT NULL,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quantidade      integer       NOT NULL,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valor_unitario  numeric(12,4) NOT NULL,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valor_total     numeric(18,2)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GENERATED ALWAYS AS (quantidade * valor_unitario) STORED,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CONSTRAINT pk_negociacao            PRIMARY KEY (id_negociacao),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CONSTRAINT fk_negociacao_investidor FOREIGN KEY (id_investidor)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REFERENCES bolsa.investidor (id_investidor)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ON UPDATE CASCADE ON DELETE RESTRICT,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CONSTRAINT fk_negociacao_acao       FOREIGN KEY (id_acao)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REFERENCES bolsa.acao (id_acao)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ON UPDATE CASCADE ON DELETE RESTRICT,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CONSTRAINT ck_negociacao_tipo       CHECK (tipo_operacao IN ('COMPRA','VENDA')),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CONSTRAINT ck_negociacao_quantidade CHECK (quantidade &gt; 0),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CONSTRAINT ck_negociacao_valor      CHECK (valor_unitario &gt; 0)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>);</w:t>
      </w:r>
    </w:p>
    <w:p/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5.2 Manipulação de dados (DML)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A carga de exemplo, com dados fictícios, contém seis investidores (quatro pessoas físicas e duas jurídicas), sete empresas, oito ações, seiscentas cotações intradiárias geradas com generate_series para cinco pregões e quinze negociações inseridas em ordem cronológica, de modo que o gatilho constrói a carteira. O bloco inclui ainda instruções UPDATE e DELETE e quatro blocos anônimos que demonstram as regras de integridade, capturando o erro esperado sem interromper o script.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5.3 Consultas (DQL)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Foram elaboradas dezesseis consultas que cobrem os requisitos de análise do enunciado (Quadro 12).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12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Consultas analíticas do modelo físico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Nº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Consulta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Recursos de SQL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Q01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Carteira valorizada a mercado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Visão; DISTINCT ON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Q02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Patrimônio total por investidor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GROUP BY sobre visão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Q03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Extrato de negociações por CPF/CNPJ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Busca pela chave natural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Q04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Volume por ação, compras e vendas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Agregação com FILTER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Q05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Série diária OHLC a partir do intradiário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FIRST_VALUE em janela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Q06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Variação entre cotações e média móvel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LAG; AVG com ROWS BETWEEN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Q07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Máxima e mínima com instante de ocorrência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ARRAY_AGG ordenado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Q08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Carteira em data passada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Função fn_carteira_em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Q09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Evolução diária do patrimônio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generate_series; LATERAL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Q10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Resultado realizado nas vendas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Janela acumulada com FILTER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Q11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Ranking de investidores por volume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RANK()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Q12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Exposição da corretora por setor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Janela sobre agregado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Q13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Ações listadas sem negociação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NOT EXISTS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Q14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Comparativo pessoa física e jurídica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LEFT JOIN; agregações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Q15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Conferência carteira × negociações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FULL OUTER JOIN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Q16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Plano de execução de consulta temporal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EXPLAIN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6 VALIDAÇÃO E RESULTADOS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script completo foi executado em PostgreSQL 16.13, com a opção ON_ERROR_STOP ativada, em um banco criado exclusivamente para o teste. Não houve erro em nenhuma instrução. Os quatro blocos de demonstração das regras de integridade produziram o resultado esperado: a venda acima do saldo foi rejeitada pelo gatilho; a exclusão de uma negociação foi bloqueada; um documento com tamanho de CNPJ cadastrado como pessoa física violou a restrição de verificação; e a exclusão de uma empresa com ações foi impedida pela chave estrangeira.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Quadro 13 resume os principais resultados numéricos das consultas sobre a carga de exemplo.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13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Resultados selecionados das consultas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4535"/>
        <w:gridCol w:w="4535"/>
      </w:tblGrid>
      <w:tr>
        <w:trPr>
          <w:tblHeader w:val="true"/>
        </w:trPr>
        <w:tc>
          <w:tcPr>
            <w:tcW w:type="dxa" w:w="136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Consulta</w:t>
            </w:r>
          </w:p>
        </w:tc>
        <w:tc>
          <w:tcPr>
            <w:tcW w:type="dxa" w:w="771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Resultado observado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Q01/Q02</w:t>
            </w:r>
          </w:p>
        </w:tc>
        <w:tc>
          <w:tcPr>
            <w:tcW w:type="dxa" w:w="771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Nove posições em carteira; maior patrimônio em ações: R$ 329.900,00 (Vale Verde Investimentos).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Q04</w:t>
            </w:r>
          </w:p>
        </w:tc>
        <w:tc>
          <w:tcPr>
            <w:tcW w:type="dxa" w:w="771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Ação de maior volume negociado: PETR3, R$ 248.150,00.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Q05</w:t>
            </w:r>
          </w:p>
        </w:tc>
        <w:tc>
          <w:tcPr>
            <w:tcW w:type="dxa" w:w="771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Cinco pregões consolidados em abertura, máxima, mínima e fechamento para PETR4.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Q08</w:t>
            </w:r>
          </w:p>
        </w:tc>
        <w:tc>
          <w:tcPr>
            <w:tcW w:type="dxa" w:w="771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Carteira de Ana Paula Ribeiro em 03/09/2026 às 17h: 300 PETR4 e 100 VALE3, R$ 17.268,82.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Q10</w:t>
            </w:r>
          </w:p>
        </w:tc>
        <w:tc>
          <w:tcPr>
            <w:tcW w:type="dxa" w:w="771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Resultado realizado nas quatro vendas: três com lucro e uma com prejuízo de R$ 15,00.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Q13</w:t>
            </w:r>
          </w:p>
        </w:tc>
        <w:tc>
          <w:tcPr>
            <w:tcW w:type="dxa" w:w="771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Uma ação listada sem negociação (ABEV3), confirmando o anti-join.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Q15</w:t>
            </w:r>
          </w:p>
        </w:tc>
        <w:tc>
          <w:tcPr>
            <w:tcW w:type="dxa" w:w="771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Zero divergências entre a carteira mantida pelo gatilho e o saldo recalculado.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Q16</w:t>
            </w:r>
          </w:p>
        </w:tc>
        <w:tc>
          <w:tcPr>
            <w:tcW w:type="dxa" w:w="771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Plano de execução com Index Scan sobre o índice da restrição UNIQUE (id_acao, data_hora).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7 CONSIDERAÇÕES FINAIS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trabalho cumpriu os objetivos propostos: o domínio da corretora foi representado em um modelo conceitual coerente com o enunciado, traduzido para um esquema relacional normalizado e implementado em um script executável, cujas regras de negócio residem no próprio banco de dados. As decisões de maior impacto foram tratar a negociação como entidade histórica e a carteira como relacionamento derivado, mantido por gatilho, o que permitiu conciliar o registro imutável das operações com a consulta imediata da posição atual.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Como evolução, o modelo pode receber o particionamento da tabela de cotações por período, adequado ao crescimento contínuo de séries temporais, e a inclusão de eventos societários (desdobramentos e grupamentos) que afetam quantidades e preços médios.</w:t>
      </w:r>
    </w:p>
    <w:p>
      <w:pPr>
        <w:pageBreakBefore/>
        <w:spacing w:before="0" w:after="36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REFERÊNCIAS</w:t>
      </w:r>
    </w:p>
    <w:p>
      <w:pPr>
        <w:spacing w:before="0" w:after="24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t xml:space="preserve">ASSOCIAÇÃO BRASILEIRA DE NORMAS TÉCNICAS. </w:t>
      </w:r>
      <w:r>
        <w:rPr>
          <w:rFonts w:ascii="Times New Roman" w:hAnsi="Times New Roman" w:eastAsia="Times New Roman"/>
          <w:b/>
          <w:color w:val="000000"/>
          <w:sz w:val="24"/>
        </w:rPr>
        <w:t>NBR 14724</w:t>
      </w:r>
      <w:r>
        <w:rPr>
          <w:rFonts w:ascii="Times New Roman" w:hAnsi="Times New Roman" w:eastAsia="Times New Roman"/>
          <w:color w:val="000000"/>
          <w:sz w:val="24"/>
        </w:rPr>
        <w:t>: informação e documentação: trabalhos acadêmicos: apresentação. Rio de Janeiro: ABNT, 2011.</w:t>
      </w:r>
    </w:p>
    <w:p>
      <w:pPr>
        <w:spacing w:before="0" w:after="24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t xml:space="preserve">ASSOCIAÇÃO BRASILEIRA DE NORMAS TÉCNICAS. </w:t>
      </w:r>
      <w:r>
        <w:rPr>
          <w:rFonts w:ascii="Times New Roman" w:hAnsi="Times New Roman" w:eastAsia="Times New Roman"/>
          <w:b/>
          <w:color w:val="000000"/>
          <w:sz w:val="24"/>
        </w:rPr>
        <w:t>NBR 6023</w:t>
      </w:r>
      <w:r>
        <w:rPr>
          <w:rFonts w:ascii="Times New Roman" w:hAnsi="Times New Roman" w:eastAsia="Times New Roman"/>
          <w:color w:val="000000"/>
          <w:sz w:val="24"/>
        </w:rPr>
        <w:t>: informação e documentação: referências: elaboração. Rio de Janeiro: ABNT, 2018.</w:t>
      </w:r>
    </w:p>
    <w:p>
      <w:pPr>
        <w:spacing w:before="0" w:after="24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t xml:space="preserve">ASSOCIAÇÃO BRASILEIRA DE NORMAS TÉCNICAS. </w:t>
      </w:r>
      <w:r>
        <w:rPr>
          <w:rFonts w:ascii="Times New Roman" w:hAnsi="Times New Roman" w:eastAsia="Times New Roman"/>
          <w:b/>
          <w:color w:val="000000"/>
          <w:sz w:val="24"/>
        </w:rPr>
        <w:t>NBR 6024</w:t>
      </w:r>
      <w:r>
        <w:rPr>
          <w:rFonts w:ascii="Times New Roman" w:hAnsi="Times New Roman" w:eastAsia="Times New Roman"/>
          <w:color w:val="000000"/>
          <w:sz w:val="24"/>
        </w:rPr>
        <w:t>: informação e documentação: numeração progressiva das seções de um documento: apresentação. Rio de Janeiro: ABNT, 2012.</w:t>
      </w:r>
    </w:p>
    <w:p>
      <w:pPr>
        <w:spacing w:before="0" w:after="24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t xml:space="preserve">CÂNDIDO, Carlos Henrique. </w:t>
      </w:r>
      <w:r>
        <w:rPr>
          <w:rFonts w:ascii="Times New Roman" w:hAnsi="Times New Roman" w:eastAsia="Times New Roman"/>
          <w:b/>
          <w:color w:val="000000"/>
          <w:sz w:val="24"/>
        </w:rPr>
        <w:t>brModelo</w:t>
      </w:r>
      <w:r>
        <w:rPr>
          <w:rFonts w:ascii="Times New Roman" w:hAnsi="Times New Roman" w:eastAsia="Times New Roman"/>
          <w:color w:val="000000"/>
          <w:sz w:val="24"/>
        </w:rPr>
        <w:t>: ferramenta para modelagem conceitual de bancos de dados. Versão 3. 2021. Disponível em: http://www.sis4.com/brModelo/. Acesso em: 7 set. 2026.</w:t>
      </w:r>
    </w:p>
    <w:p>
      <w:pPr>
        <w:spacing w:before="0" w:after="24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t xml:space="preserve">DATE, Christopher J. </w:t>
      </w:r>
      <w:r>
        <w:rPr>
          <w:rFonts w:ascii="Times New Roman" w:hAnsi="Times New Roman" w:eastAsia="Times New Roman"/>
          <w:b/>
          <w:color w:val="000000"/>
          <w:sz w:val="24"/>
        </w:rPr>
        <w:t>Introdução a sistemas de bancos de dados</w:t>
      </w:r>
      <w:r>
        <w:rPr>
          <w:rFonts w:ascii="Times New Roman" w:hAnsi="Times New Roman" w:eastAsia="Times New Roman"/>
          <w:color w:val="000000"/>
          <w:sz w:val="24"/>
        </w:rPr>
        <w:t>. 8. ed. Rio de Janeiro: Elsevier, 2004.</w:t>
      </w:r>
    </w:p>
    <w:p>
      <w:pPr>
        <w:spacing w:before="0" w:after="24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t xml:space="preserve">ELMASRI, Ramez; NAVATHE, Shamkant B. </w:t>
      </w:r>
      <w:r>
        <w:rPr>
          <w:rFonts w:ascii="Times New Roman" w:hAnsi="Times New Roman" w:eastAsia="Times New Roman"/>
          <w:b/>
          <w:color w:val="000000"/>
          <w:sz w:val="24"/>
        </w:rPr>
        <w:t>Sistemas de banco de dados</w:t>
      </w:r>
      <w:r>
        <w:rPr>
          <w:rFonts w:ascii="Times New Roman" w:hAnsi="Times New Roman" w:eastAsia="Times New Roman"/>
          <w:color w:val="000000"/>
          <w:sz w:val="24"/>
        </w:rPr>
        <w:t>. 7. ed. São Paulo: Pearson, 2018.</w:t>
      </w:r>
    </w:p>
    <w:p>
      <w:pPr>
        <w:spacing w:before="0" w:after="24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t xml:space="preserve">HEUSER, Carlos Alberto. </w:t>
      </w:r>
      <w:r>
        <w:rPr>
          <w:rFonts w:ascii="Times New Roman" w:hAnsi="Times New Roman" w:eastAsia="Times New Roman"/>
          <w:b/>
          <w:color w:val="000000"/>
          <w:sz w:val="24"/>
        </w:rPr>
        <w:t>Projeto de banco de dados</w:t>
      </w:r>
      <w:r>
        <w:rPr>
          <w:rFonts w:ascii="Times New Roman" w:hAnsi="Times New Roman" w:eastAsia="Times New Roman"/>
          <w:color w:val="000000"/>
          <w:sz w:val="24"/>
        </w:rPr>
        <w:t>. 6. ed. Porto Alegre: Bookman, 2009.</w:t>
      </w:r>
    </w:p>
    <w:p>
      <w:pPr>
        <w:spacing w:before="0" w:after="24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t xml:space="preserve">POSTGRESQL GLOBAL DEVELOPMENT GROUP. </w:t>
      </w:r>
      <w:r>
        <w:rPr>
          <w:rFonts w:ascii="Times New Roman" w:hAnsi="Times New Roman" w:eastAsia="Times New Roman"/>
          <w:b/>
          <w:color w:val="000000"/>
          <w:sz w:val="24"/>
        </w:rPr>
        <w:t>PostgreSQL 16 documentation</w:t>
      </w:r>
      <w:r>
        <w:rPr>
          <w:rFonts w:ascii="Times New Roman" w:hAnsi="Times New Roman" w:eastAsia="Times New Roman"/>
          <w:color w:val="000000"/>
          <w:sz w:val="24"/>
        </w:rPr>
        <w:t>. 2024. Disponível em: https://www.postgresql.org/docs/16/. Acesso em: 7 set. 2026.</w:t>
      </w:r>
    </w:p>
    <w:p>
      <w:pPr>
        <w:pageBreakBefore/>
        <w:spacing w:before="0" w:after="36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APÊNDICE A – SCRIPT SQL DO MODELO FÍSICO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color w:val="000000"/>
          <w:sz w:val="24"/>
        </w:rPr>
        <w:t>O arquivo 00_bolsa_completo.sql, entregue junto a este relatório, contém o modelo físico completo (DDL, DML e DQL) e pode ser executado com o comando a seguir.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>psql -v ON_ERROR_STOP=1 -d bolsa_valores -f 00_bolsa_completo.sql</w:t>
      </w:r>
    </w:p>
    <w:p/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color w:val="000000"/>
          <w:sz w:val="24"/>
        </w:rPr>
        <w:t>Os arquivos-fonte, os diagramas e os scripts de geração estão disponíveis no repositório https://github.com/alexander-stack1/TDP_Avaliacao_banco_de_dados.</w:t>
      </w:r>
    </w:p>
    <w:sectPr w:rsidR="00FC693F" w:rsidRPr="0006063C" w:rsidSect="00034616">
      <w:headerReference w:type="default" r:id="rId17"/>
      <w:pgSz w:w="11906" w:h="16838"/>
      <w:pgMar w:top="1701" w:right="1134" w:bottom="1134" w:left="1701" w:header="1134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eastAsia="Times New Roman"/>
        <w:color w:val="000000"/>
        <w:sz w:val="20"/>
      </w:rPr>
      <w:fldChar w:fldCharType="begin" w:dirty="true"/>
    </w:r>
    <w:r>
      <w:rPr>
        <w:rFonts w:ascii="Times New Roman" w:hAnsi="Times New Roman" w:eastAsia="Times New Roman"/>
        <w:color w:val="000000"/>
        <w:sz w:val="20"/>
      </w:rPr>
      <w:instrText xml:space="preserve"> PAGE </w:instrText>
    </w:r>
    <w:r>
      <w:rPr>
        <w:rFonts w:ascii="Times New Roman" w:hAnsi="Times New Roman" w:eastAsia="Times New Roman"/>
        <w:color w:val="000000"/>
        <w:sz w:val="20"/>
      </w:rPr>
      <w:fldChar w:fldCharType="separate"/>
    </w:r>
    <w:r>
      <w:rPr>
        <w:rFonts w:ascii="Times New Roman" w:hAnsi="Times New Roman" w:eastAsia="Times New Roman"/>
        <w:color w:val="000000"/>
        <w:sz w:val="20"/>
      </w:rPr>
      <w:t>1</w:t>
    </w:r>
    <w:r>
      <w:rPr>
        <w:rFonts w:ascii="Times New Roman" w:hAnsi="Times New Roman" w:eastAsia="Times New Roman"/>
        <w:color w:val="000000"/>
        <w:sz w:val="20"/>
      </w:rPr>
      <w:fldChar w:fldCharType="end"/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eastAsia="Times New Roman"/>
        <w:color w:val="000000"/>
        <w:sz w:val="20"/>
      </w:rPr>
      <w:fldChar w:fldCharType="begin" w:dirty="true"/>
    </w:r>
    <w:r>
      <w:rPr>
        <w:rFonts w:ascii="Times New Roman" w:hAnsi="Times New Roman" w:eastAsia="Times New Roman"/>
        <w:color w:val="000000"/>
        <w:sz w:val="20"/>
      </w:rPr>
      <w:instrText xml:space="preserve"> PAGE </w:instrText>
    </w:r>
    <w:r>
      <w:rPr>
        <w:rFonts w:ascii="Times New Roman" w:hAnsi="Times New Roman" w:eastAsia="Times New Roman"/>
        <w:color w:val="000000"/>
        <w:sz w:val="20"/>
      </w:rPr>
      <w:fldChar w:fldCharType="separate"/>
    </w:r>
    <w:r>
      <w:rPr>
        <w:rFonts w:ascii="Times New Roman" w:hAnsi="Times New Roman" w:eastAsia="Times New Roman"/>
        <w:color w:val="000000"/>
        <w:sz w:val="20"/>
      </w:rPr>
      <w:t>1</w:t>
    </w:r>
    <w:r>
      <w:rPr>
        <w:rFonts w:ascii="Times New Roman" w:hAnsi="Times New Roman" w:eastAsia="Times New Roman"/>
        <w:color w:val="000000"/>
        <w:sz w:val="20"/>
      </w:rPr>
      <w:fldChar w:fldCharType="end"/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eastAsia="Times New Roman"/>
        <w:color w:val="000000"/>
        <w:sz w:val="20"/>
      </w:rPr>
      <w:fldChar w:fldCharType="begin" w:dirty="true"/>
    </w:r>
    <w:r>
      <w:rPr>
        <w:rFonts w:ascii="Times New Roman" w:hAnsi="Times New Roman" w:eastAsia="Times New Roman"/>
        <w:color w:val="000000"/>
        <w:sz w:val="20"/>
      </w:rPr>
      <w:instrText xml:space="preserve"> PAGE </w:instrText>
    </w:r>
    <w:r>
      <w:rPr>
        <w:rFonts w:ascii="Times New Roman" w:hAnsi="Times New Roman" w:eastAsia="Times New Roman"/>
        <w:color w:val="000000"/>
        <w:sz w:val="20"/>
      </w:rPr>
      <w:fldChar w:fldCharType="separate"/>
    </w:r>
    <w:r>
      <w:rPr>
        <w:rFonts w:ascii="Times New Roman" w:hAnsi="Times New Roman" w:eastAsia="Times New Roman"/>
        <w:color w:val="000000"/>
        <w:sz w:val="20"/>
      </w:rPr>
      <w:t>1</w:t>
    </w:r>
    <w:r>
      <w:rPr>
        <w:rFonts w:ascii="Times New Roman" w:hAnsi="Times New Roman" w:eastAsia="Times New Roman"/>
        <w:color w:val="000000"/>
        <w:sz w:val="20"/>
      </w:rPr>
      <w:fldChar w:fldCharType="end"/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eastAsia="Times New Roman"/>
        <w:color w:val="000000"/>
        <w:sz w:val="20"/>
      </w:rPr>
      <w:fldChar w:fldCharType="begin" w:dirty="true"/>
    </w:r>
    <w:r>
      <w:rPr>
        <w:rFonts w:ascii="Times New Roman" w:hAnsi="Times New Roman" w:eastAsia="Times New Roman"/>
        <w:color w:val="000000"/>
        <w:sz w:val="20"/>
      </w:rPr>
      <w:instrText xml:space="preserve"> PAGE </w:instrText>
    </w:r>
    <w:r>
      <w:rPr>
        <w:rFonts w:ascii="Times New Roman" w:hAnsi="Times New Roman" w:eastAsia="Times New Roman"/>
        <w:color w:val="000000"/>
        <w:sz w:val="20"/>
      </w:rPr>
      <w:fldChar w:fldCharType="separate"/>
    </w:r>
    <w:r>
      <w:rPr>
        <w:rFonts w:ascii="Times New Roman" w:hAnsi="Times New Roman" w:eastAsia="Times New Roman"/>
        <w:color w:val="000000"/>
        <w:sz w:val="20"/>
      </w:rPr>
      <w:t>1</w:t>
    </w:r>
    <w:r>
      <w:rPr>
        <w:rFonts w:ascii="Times New Roman" w:hAnsi="Times New Roman" w:eastAsia="Times New Roman"/>
        <w:color w:val="000000"/>
        <w:sz w:val="20"/>
      </w:rPr>
      <w:fldChar w:fldCharType="end"/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eastAsia="Times New Roman"/>
        <w:color w:val="000000"/>
        <w:sz w:val="20"/>
      </w:rPr>
      <w:fldChar w:fldCharType="begin" w:dirty="true"/>
    </w:r>
    <w:r>
      <w:rPr>
        <w:rFonts w:ascii="Times New Roman" w:hAnsi="Times New Roman" w:eastAsia="Times New Roman"/>
        <w:color w:val="000000"/>
        <w:sz w:val="20"/>
      </w:rPr>
      <w:instrText xml:space="preserve"> PAGE </w:instrText>
    </w:r>
    <w:r>
      <w:rPr>
        <w:rFonts w:ascii="Times New Roman" w:hAnsi="Times New Roman" w:eastAsia="Times New Roman"/>
        <w:color w:val="000000"/>
        <w:sz w:val="20"/>
      </w:rPr>
      <w:fldChar w:fldCharType="separate"/>
    </w:r>
    <w:r>
      <w:rPr>
        <w:rFonts w:ascii="Times New Roman" w:hAnsi="Times New Roman" w:eastAsia="Times New Roman"/>
        <w:color w:val="000000"/>
        <w:sz w:val="20"/>
      </w:rPr>
      <w:t>1</w:t>
    </w:r>
    <w:r>
      <w:rPr>
        <w:rFonts w:ascii="Times New Roman" w:hAnsi="Times New Roman" w:eastAsia="Times New Roman"/>
        <w:color w:val="000000"/>
        <w:sz w:val="20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24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 w:val="0"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image" Target="media/image1.png"/><Relationship Id="rId14" Type="http://schemas.openxmlformats.org/officeDocument/2006/relationships/header" Target="header5.xml"/><Relationship Id="rId15" Type="http://schemas.openxmlformats.org/officeDocument/2006/relationships/header" Target="header6.xml"/><Relationship Id="rId16" Type="http://schemas.openxmlformats.org/officeDocument/2006/relationships/image" Target="media/image2.png"/><Relationship Id="rId17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